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00" w:type="pct"/>
        <w:tblLook w:val="01E0" w:firstRow="1" w:lastRow="1" w:firstColumn="1" w:lastColumn="1" w:noHBand="0" w:noVBand="0"/>
      </w:tblPr>
      <w:tblGrid>
        <w:gridCol w:w="2506"/>
        <w:gridCol w:w="2993"/>
        <w:gridCol w:w="3888"/>
      </w:tblGrid>
      <w:tr w:rsidR="00211BAE" w:rsidRPr="00211BAE" w14:paraId="3AB4A447" w14:textId="77777777" w:rsidTr="00211BAE">
        <w:tc>
          <w:tcPr>
            <w:tcW w:w="1335" w:type="pct"/>
          </w:tcPr>
          <w:p w14:paraId="36134232" w14:textId="77777777" w:rsidR="00211BAE" w:rsidRPr="00211BAE" w:rsidRDefault="00211BAE" w:rsidP="00211BAE">
            <w:pPr>
              <w:spacing w:after="0" w:line="240" w:lineRule="auto"/>
              <w:rPr>
                <w:rFonts w:ascii="Calibri" w:eastAsia="Calibri" w:hAnsi="Calibri" w:cs="Times New Roman"/>
                <w:sz w:val="18"/>
                <w:szCs w:val="18"/>
              </w:rPr>
            </w:pPr>
            <w:r w:rsidRPr="00211BAE">
              <w:rPr>
                <w:rFonts w:ascii="Calibri" w:eastAsia="Calibri" w:hAnsi="Calibri" w:cs="Times New Roman"/>
                <w:noProof/>
              </w:rPr>
              <w:drawing>
                <wp:anchor distT="0" distB="0" distL="114300" distR="114300" simplePos="0" relativeHeight="251659264" behindDoc="0" locked="0" layoutInCell="1" allowOverlap="1" wp14:anchorId="324E6856" wp14:editId="05056863">
                  <wp:simplePos x="0" y="0"/>
                  <wp:positionH relativeFrom="column">
                    <wp:posOffset>309880</wp:posOffset>
                  </wp:positionH>
                  <wp:positionV relativeFrom="paragraph">
                    <wp:posOffset>50165</wp:posOffset>
                  </wp:positionV>
                  <wp:extent cx="645160" cy="650875"/>
                  <wp:effectExtent l="0" t="0" r="254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5160" cy="650875"/>
                          </a:xfrm>
                          <a:prstGeom prst="rect">
                            <a:avLst/>
                          </a:prstGeom>
                          <a:noFill/>
                        </pic:spPr>
                      </pic:pic>
                    </a:graphicData>
                  </a:graphic>
                  <wp14:sizeRelH relativeFrom="page">
                    <wp14:pctWidth>0</wp14:pctWidth>
                  </wp14:sizeRelH>
                  <wp14:sizeRelV relativeFrom="page">
                    <wp14:pctHeight>0</wp14:pctHeight>
                  </wp14:sizeRelV>
                </wp:anchor>
              </w:drawing>
            </w:r>
          </w:p>
          <w:p w14:paraId="1BDF5767" w14:textId="77777777" w:rsidR="00211BAE" w:rsidRPr="00211BAE" w:rsidRDefault="00211BAE" w:rsidP="00211BAE">
            <w:pPr>
              <w:spacing w:after="200" w:line="276" w:lineRule="auto"/>
              <w:rPr>
                <w:rFonts w:ascii="Calibri" w:eastAsia="Calibri" w:hAnsi="Calibri" w:cs="Times New Roman"/>
                <w:sz w:val="18"/>
                <w:szCs w:val="18"/>
              </w:rPr>
            </w:pPr>
          </w:p>
          <w:p w14:paraId="6228B8B9" w14:textId="77777777" w:rsidR="00211BAE" w:rsidRPr="00211BAE" w:rsidRDefault="00211BAE" w:rsidP="00211BAE">
            <w:pPr>
              <w:spacing w:after="200" w:line="276" w:lineRule="auto"/>
              <w:jc w:val="right"/>
              <w:rPr>
                <w:rFonts w:ascii="Calibri" w:eastAsia="Calibri" w:hAnsi="Calibri" w:cs="Times New Roman"/>
                <w:sz w:val="18"/>
                <w:szCs w:val="18"/>
              </w:rPr>
            </w:pPr>
          </w:p>
        </w:tc>
        <w:tc>
          <w:tcPr>
            <w:tcW w:w="1594" w:type="pct"/>
          </w:tcPr>
          <w:p w14:paraId="4F4374C9" w14:textId="77777777" w:rsidR="00211BAE" w:rsidRPr="00211BAE" w:rsidRDefault="00211BAE" w:rsidP="00211BAE">
            <w:pPr>
              <w:spacing w:after="0" w:line="240" w:lineRule="auto"/>
              <w:rPr>
                <w:rFonts w:ascii="Calibri" w:eastAsia="Calibri" w:hAnsi="Calibri" w:cs="Times New Roman"/>
                <w:sz w:val="18"/>
                <w:szCs w:val="18"/>
                <w:lang w:val="el-GR"/>
              </w:rPr>
            </w:pPr>
          </w:p>
          <w:p w14:paraId="69E42C37" w14:textId="77777777" w:rsidR="00211BAE" w:rsidRPr="00211BAE" w:rsidRDefault="00211BAE" w:rsidP="00211BAE">
            <w:pPr>
              <w:spacing w:after="0" w:line="240" w:lineRule="auto"/>
              <w:rPr>
                <w:rFonts w:ascii="Calibri" w:eastAsia="Calibri" w:hAnsi="Calibri" w:cs="Times New Roman"/>
                <w:sz w:val="18"/>
                <w:szCs w:val="18"/>
                <w:lang w:val="el-GR"/>
              </w:rPr>
            </w:pPr>
          </w:p>
          <w:p w14:paraId="71813B14" w14:textId="77777777" w:rsidR="00211BAE" w:rsidRPr="00211BAE" w:rsidRDefault="00211BAE" w:rsidP="00211BAE">
            <w:pPr>
              <w:spacing w:after="0" w:line="240" w:lineRule="auto"/>
              <w:rPr>
                <w:rFonts w:ascii="Calibri" w:eastAsia="Calibri" w:hAnsi="Calibri" w:cs="Times New Roman"/>
                <w:sz w:val="18"/>
                <w:szCs w:val="18"/>
                <w:lang w:val="el-GR"/>
              </w:rPr>
            </w:pPr>
          </w:p>
          <w:p w14:paraId="05C46D33" w14:textId="77777777" w:rsidR="00211BAE" w:rsidRPr="00211BAE" w:rsidRDefault="00211BAE" w:rsidP="00211BAE">
            <w:pPr>
              <w:spacing w:after="0" w:line="240" w:lineRule="auto"/>
              <w:rPr>
                <w:rFonts w:ascii="Calibri" w:eastAsia="Calibri" w:hAnsi="Calibri" w:cs="Times New Roman"/>
                <w:sz w:val="18"/>
                <w:szCs w:val="18"/>
                <w:lang w:val="el-GR"/>
              </w:rPr>
            </w:pPr>
          </w:p>
        </w:tc>
        <w:tc>
          <w:tcPr>
            <w:tcW w:w="2071" w:type="pct"/>
            <w:vMerge w:val="restart"/>
          </w:tcPr>
          <w:p w14:paraId="5B9DE59D" w14:textId="77777777" w:rsidR="00211BAE" w:rsidRPr="00211BAE" w:rsidRDefault="00211BAE" w:rsidP="00211BAE">
            <w:pPr>
              <w:spacing w:after="0" w:line="240" w:lineRule="auto"/>
              <w:jc w:val="center"/>
              <w:rPr>
                <w:rFonts w:ascii="Calibri" w:eastAsia="Calibri" w:hAnsi="Calibri" w:cs="Times New Roman"/>
                <w:sz w:val="18"/>
                <w:szCs w:val="18"/>
                <w:lang w:val="el-GR"/>
              </w:rPr>
            </w:pPr>
          </w:p>
          <w:p w14:paraId="537E98B1" w14:textId="77777777" w:rsidR="00211BAE" w:rsidRPr="00211BAE" w:rsidRDefault="00211BAE" w:rsidP="00211BAE">
            <w:pPr>
              <w:spacing w:after="0" w:line="240" w:lineRule="auto"/>
              <w:rPr>
                <w:rFonts w:ascii="Calibri" w:eastAsia="Calibri" w:hAnsi="Calibri" w:cs="Times New Roman"/>
                <w:sz w:val="18"/>
                <w:szCs w:val="18"/>
                <w:lang w:val="el-GR"/>
              </w:rPr>
            </w:pPr>
            <w:r w:rsidRPr="00211BAE">
              <w:rPr>
                <w:rFonts w:ascii="Calibri" w:eastAsia="Calibri" w:hAnsi="Calibri" w:cs="Times New Roman"/>
                <w:noProof/>
                <w:sz w:val="18"/>
                <w:szCs w:val="18"/>
              </w:rPr>
              <w:drawing>
                <wp:inline distT="0" distB="0" distL="0" distR="0" wp14:anchorId="3B8259D5" wp14:editId="12BD1F3E">
                  <wp:extent cx="2286000" cy="657225"/>
                  <wp:effectExtent l="0" t="0" r="0" b="9525"/>
                  <wp:docPr id="5" name="Picture 20" descr="LOGO_EPA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EPA_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657225"/>
                          </a:xfrm>
                          <a:prstGeom prst="rect">
                            <a:avLst/>
                          </a:prstGeom>
                          <a:noFill/>
                          <a:ln>
                            <a:noFill/>
                          </a:ln>
                        </pic:spPr>
                      </pic:pic>
                    </a:graphicData>
                  </a:graphic>
                </wp:inline>
              </w:drawing>
            </w:r>
          </w:p>
        </w:tc>
      </w:tr>
      <w:tr w:rsidR="00211BAE" w:rsidRPr="00211BAE" w14:paraId="5F4349DD" w14:textId="77777777" w:rsidTr="00211BAE">
        <w:tc>
          <w:tcPr>
            <w:tcW w:w="1335" w:type="pct"/>
            <w:hideMark/>
          </w:tcPr>
          <w:p w14:paraId="3F0F19CD" w14:textId="77777777" w:rsidR="00211BAE" w:rsidRPr="00211BAE" w:rsidRDefault="00211BAE" w:rsidP="00211BAE">
            <w:pPr>
              <w:spacing w:after="0" w:line="240" w:lineRule="auto"/>
              <w:jc w:val="center"/>
              <w:rPr>
                <w:rFonts w:ascii="Calibri" w:eastAsia="Calibri" w:hAnsi="Calibri" w:cs="Times New Roman"/>
                <w:b/>
                <w:sz w:val="18"/>
                <w:szCs w:val="18"/>
                <w:lang w:val="el-GR"/>
              </w:rPr>
            </w:pPr>
            <w:r w:rsidRPr="00211BAE">
              <w:rPr>
                <w:rFonts w:ascii="Calibri" w:eastAsia="Calibri" w:hAnsi="Calibri" w:cs="Times New Roman"/>
                <w:b/>
                <w:sz w:val="18"/>
                <w:szCs w:val="18"/>
                <w:lang w:val="el-GR"/>
              </w:rPr>
              <w:t>ΚΥΠΡΙΑΚΗ  ΔΗΜΟΚΡΑΤΙΑ</w:t>
            </w:r>
          </w:p>
        </w:tc>
        <w:tc>
          <w:tcPr>
            <w:tcW w:w="1594" w:type="pct"/>
          </w:tcPr>
          <w:p w14:paraId="415D976D" w14:textId="77777777" w:rsidR="00211BAE" w:rsidRPr="00211BAE" w:rsidRDefault="00211BAE" w:rsidP="00211BAE">
            <w:pPr>
              <w:spacing w:after="0" w:line="240" w:lineRule="auto"/>
              <w:rPr>
                <w:rFonts w:ascii="Calibri" w:eastAsia="Calibri" w:hAnsi="Calibri" w:cs="Times New Roman"/>
                <w:b/>
                <w:sz w:val="18"/>
                <w:szCs w:val="18"/>
                <w:lang w:val="el-GR"/>
              </w:rPr>
            </w:pPr>
          </w:p>
        </w:tc>
        <w:tc>
          <w:tcPr>
            <w:tcW w:w="0" w:type="auto"/>
            <w:vMerge/>
            <w:vAlign w:val="center"/>
            <w:hideMark/>
          </w:tcPr>
          <w:p w14:paraId="3E871527" w14:textId="77777777" w:rsidR="00211BAE" w:rsidRPr="00211BAE" w:rsidRDefault="00211BAE" w:rsidP="00211BAE">
            <w:pPr>
              <w:spacing w:after="0" w:line="240" w:lineRule="auto"/>
              <w:rPr>
                <w:rFonts w:ascii="Calibri" w:eastAsia="Calibri" w:hAnsi="Calibri" w:cs="Times New Roman"/>
                <w:sz w:val="18"/>
                <w:szCs w:val="18"/>
                <w:lang w:val="el-GR"/>
              </w:rPr>
            </w:pPr>
          </w:p>
        </w:tc>
      </w:tr>
      <w:tr w:rsidR="00211BAE" w:rsidRPr="00211BAE" w14:paraId="654A3E50" w14:textId="77777777" w:rsidTr="00211BAE">
        <w:tc>
          <w:tcPr>
            <w:tcW w:w="1335" w:type="pct"/>
          </w:tcPr>
          <w:p w14:paraId="3375952D" w14:textId="77777777" w:rsidR="00211BAE" w:rsidRPr="00211BAE" w:rsidRDefault="00211BAE" w:rsidP="00211BAE">
            <w:pPr>
              <w:spacing w:after="0" w:line="240" w:lineRule="auto"/>
              <w:rPr>
                <w:rFonts w:ascii="Calibri" w:eastAsia="Calibri" w:hAnsi="Calibri" w:cs="Times New Roman"/>
                <w:b/>
                <w:sz w:val="18"/>
                <w:szCs w:val="18"/>
                <w:lang w:val="el-GR"/>
              </w:rPr>
            </w:pPr>
          </w:p>
        </w:tc>
        <w:tc>
          <w:tcPr>
            <w:tcW w:w="1594" w:type="pct"/>
          </w:tcPr>
          <w:p w14:paraId="40E8BCC9" w14:textId="77777777" w:rsidR="00211BAE" w:rsidRPr="00211BAE" w:rsidRDefault="00211BAE" w:rsidP="00211BAE">
            <w:pPr>
              <w:spacing w:after="0" w:line="240" w:lineRule="auto"/>
              <w:rPr>
                <w:rFonts w:ascii="Calibri" w:eastAsia="Calibri" w:hAnsi="Calibri" w:cs="Times New Roman"/>
                <w:b/>
                <w:sz w:val="18"/>
                <w:szCs w:val="18"/>
                <w:lang w:val="el-GR"/>
              </w:rPr>
            </w:pPr>
          </w:p>
        </w:tc>
        <w:tc>
          <w:tcPr>
            <w:tcW w:w="2071" w:type="pct"/>
          </w:tcPr>
          <w:p w14:paraId="3B9F31E7" w14:textId="77777777" w:rsidR="00211BAE" w:rsidRPr="00211BAE" w:rsidRDefault="00211BAE" w:rsidP="00211BAE">
            <w:pPr>
              <w:spacing w:after="0" w:line="240" w:lineRule="auto"/>
              <w:jc w:val="center"/>
              <w:rPr>
                <w:rFonts w:ascii="Calibri" w:eastAsia="Calibri" w:hAnsi="Calibri" w:cs="Times New Roman"/>
                <w:b/>
                <w:sz w:val="18"/>
                <w:szCs w:val="18"/>
                <w:lang w:val="el-GR"/>
              </w:rPr>
            </w:pPr>
          </w:p>
        </w:tc>
      </w:tr>
    </w:tbl>
    <w:p w14:paraId="6C456345" w14:textId="77777777" w:rsidR="0056507A" w:rsidRDefault="0056507A"/>
    <w:p w14:paraId="3CFE3099" w14:textId="77777777" w:rsidR="00C52BFC" w:rsidRPr="0005399E" w:rsidRDefault="00C52BFC" w:rsidP="0005399E">
      <w:pPr>
        <w:spacing w:after="0"/>
        <w:rPr>
          <w:rFonts w:cs="Arial"/>
        </w:rPr>
      </w:pPr>
    </w:p>
    <w:p w14:paraId="7E9B3206" w14:textId="77777777" w:rsidR="00C52BFC" w:rsidRPr="0005399E" w:rsidRDefault="00C52BFC" w:rsidP="0005399E">
      <w:pPr>
        <w:spacing w:after="0"/>
        <w:jc w:val="center"/>
        <w:rPr>
          <w:rFonts w:cs="Arial"/>
          <w:b/>
          <w:u w:val="single"/>
        </w:rPr>
      </w:pPr>
      <w:r w:rsidRPr="0005399E">
        <w:rPr>
          <w:rFonts w:cs="Arial"/>
          <w:b/>
          <w:u w:val="single"/>
        </w:rPr>
        <w:t>ΔΗΜΟΣΙΑ ΔΙΑΒΟΥΛΕΥΣΗ:</w:t>
      </w:r>
    </w:p>
    <w:p w14:paraId="206D1219" w14:textId="3C31E424" w:rsidR="000C73D2" w:rsidRPr="0005399E" w:rsidRDefault="00125FEC" w:rsidP="0005399E">
      <w:pPr>
        <w:spacing w:after="0"/>
        <w:jc w:val="center"/>
        <w:rPr>
          <w:rFonts w:cs="Arial"/>
          <w:b/>
          <w:u w:val="single"/>
          <w:lang w:val="el-GR"/>
        </w:rPr>
      </w:pPr>
      <w:r>
        <w:rPr>
          <w:rFonts w:cs="Arial"/>
          <w:b/>
          <w:u w:val="single"/>
          <w:lang w:val="el-GR"/>
        </w:rPr>
        <w:t>Προσχέδιο νομοσχεδίου με τίτλο «ο περί της Προστασίας του Ανταγωνισμού (Τροποποιητικός) Νόμος του 202</w:t>
      </w:r>
      <w:r w:rsidR="008402A5" w:rsidRPr="00ED505C">
        <w:rPr>
          <w:rFonts w:cs="Arial"/>
          <w:b/>
          <w:u w:val="single"/>
          <w:lang w:val="el-GR"/>
        </w:rPr>
        <w:t>4</w:t>
      </w:r>
      <w:r>
        <w:rPr>
          <w:rFonts w:cs="Arial"/>
          <w:b/>
          <w:u w:val="single"/>
          <w:lang w:val="el-GR"/>
        </w:rPr>
        <w:t>»</w:t>
      </w:r>
    </w:p>
    <w:p w14:paraId="476404B1" w14:textId="77777777" w:rsidR="00C52BFC" w:rsidRPr="0005399E" w:rsidRDefault="00C52BFC" w:rsidP="0005399E">
      <w:pPr>
        <w:pStyle w:val="ListParagraph"/>
        <w:numPr>
          <w:ilvl w:val="0"/>
          <w:numId w:val="2"/>
        </w:numPr>
        <w:spacing w:after="0"/>
        <w:ind w:left="284" w:hanging="284"/>
        <w:rPr>
          <w:rFonts w:cs="Arial"/>
          <w:b/>
          <w:u w:val="single"/>
          <w:lang w:val="el-GR"/>
        </w:rPr>
      </w:pPr>
      <w:r w:rsidRPr="0005399E">
        <w:rPr>
          <w:rFonts w:cs="Arial"/>
          <w:b/>
          <w:u w:val="single"/>
          <w:lang w:val="el-GR"/>
        </w:rPr>
        <w:t>Θέμα</w:t>
      </w:r>
    </w:p>
    <w:p w14:paraId="6314E1DA" w14:textId="77777777" w:rsidR="00C52BFC" w:rsidRPr="0005399E" w:rsidRDefault="00C52BFC" w:rsidP="0005399E">
      <w:pPr>
        <w:pStyle w:val="ListParagraph"/>
        <w:spacing w:after="0"/>
        <w:rPr>
          <w:rFonts w:cs="Arial"/>
          <w:lang w:val="el-GR"/>
        </w:rPr>
      </w:pPr>
    </w:p>
    <w:p w14:paraId="3932A52E" w14:textId="1AE4EC31" w:rsidR="00125FEC" w:rsidRPr="00125FEC" w:rsidRDefault="00C52BFC" w:rsidP="00125FEC">
      <w:pPr>
        <w:spacing w:after="0"/>
        <w:jc w:val="both"/>
        <w:rPr>
          <w:rFonts w:cs="Arial"/>
          <w:lang w:val="el-GR"/>
        </w:rPr>
      </w:pPr>
      <w:r w:rsidRPr="00125FEC">
        <w:rPr>
          <w:rFonts w:cs="Arial"/>
        </w:rPr>
        <w:t>H</w:t>
      </w:r>
      <w:r w:rsidRPr="00F02ABD">
        <w:rPr>
          <w:rFonts w:cs="Arial"/>
          <w:lang w:val="el-GR"/>
        </w:rPr>
        <w:t xml:space="preserve"> Επιτροπή Προστασίας του Ανταγωνισμού</w:t>
      </w:r>
      <w:r w:rsidR="0005399E" w:rsidRPr="00125FEC">
        <w:rPr>
          <w:rFonts w:cs="Arial"/>
          <w:lang w:val="el-GR"/>
        </w:rPr>
        <w:t xml:space="preserve"> (στο εξής η «Επιτροπή»)</w:t>
      </w:r>
      <w:r w:rsidRPr="00F02ABD">
        <w:rPr>
          <w:rFonts w:cs="Arial"/>
          <w:lang w:val="el-GR"/>
        </w:rPr>
        <w:t xml:space="preserve"> θέτει σε δημόσια διαβούλευση από </w:t>
      </w:r>
      <w:r w:rsidRPr="00F02ABD">
        <w:rPr>
          <w:rFonts w:cs="Arial"/>
          <w:b/>
          <w:u w:val="single"/>
          <w:lang w:val="el-GR"/>
        </w:rPr>
        <w:t xml:space="preserve">τις </w:t>
      </w:r>
      <w:r w:rsidR="00295CD3">
        <w:rPr>
          <w:rFonts w:cs="Arial"/>
          <w:b/>
          <w:u w:val="single"/>
          <w:lang w:val="el-GR"/>
        </w:rPr>
        <w:t>4</w:t>
      </w:r>
      <w:r w:rsidR="00621BC8" w:rsidRPr="00ED505C">
        <w:rPr>
          <w:rFonts w:cs="Arial"/>
          <w:b/>
          <w:u w:val="single"/>
          <w:lang w:val="el-GR"/>
        </w:rPr>
        <w:t>/4/2024</w:t>
      </w:r>
      <w:r w:rsidRPr="00F02ABD">
        <w:rPr>
          <w:rFonts w:cs="Arial"/>
          <w:b/>
          <w:u w:val="single"/>
          <w:lang w:val="el-GR"/>
        </w:rPr>
        <w:t xml:space="preserve"> μέχρι τις </w:t>
      </w:r>
      <w:r w:rsidR="00621BC8" w:rsidRPr="00ED505C">
        <w:rPr>
          <w:rFonts w:cs="Arial"/>
          <w:b/>
          <w:u w:val="single"/>
          <w:lang w:val="el-GR"/>
        </w:rPr>
        <w:t>2/5/2024</w:t>
      </w:r>
      <w:r w:rsidRPr="00F02ABD">
        <w:rPr>
          <w:rFonts w:cs="Arial"/>
          <w:b/>
          <w:u w:val="single"/>
          <w:lang w:val="el-GR"/>
        </w:rPr>
        <w:t>,</w:t>
      </w:r>
      <w:r w:rsidRPr="00F02ABD">
        <w:rPr>
          <w:rFonts w:cs="Arial"/>
          <w:lang w:val="el-GR"/>
        </w:rPr>
        <w:t xml:space="preserve"> το προσχέδιο νομοσχεδίου </w:t>
      </w:r>
      <w:r w:rsidR="00125FEC" w:rsidRPr="00125FEC">
        <w:rPr>
          <w:rFonts w:cs="Arial"/>
          <w:lang w:val="el-GR"/>
        </w:rPr>
        <w:t>με τίτλο «ο περί της Προστασίας του Ανταγωνισμού (Τροποποιητικός) Νόμος του 202</w:t>
      </w:r>
      <w:r w:rsidR="008402A5" w:rsidRPr="00ED505C">
        <w:rPr>
          <w:rFonts w:cs="Arial"/>
          <w:lang w:val="el-GR"/>
        </w:rPr>
        <w:t>4</w:t>
      </w:r>
      <w:r w:rsidR="00125FEC" w:rsidRPr="00125FEC">
        <w:rPr>
          <w:rFonts w:cs="Arial"/>
          <w:lang w:val="el-GR"/>
        </w:rPr>
        <w:t>»</w:t>
      </w:r>
      <w:r w:rsidR="00125FEC">
        <w:rPr>
          <w:rFonts w:cs="Arial"/>
          <w:lang w:val="el-GR"/>
        </w:rPr>
        <w:t>.</w:t>
      </w:r>
    </w:p>
    <w:p w14:paraId="50FF6321" w14:textId="414CC51C" w:rsidR="00C52BFC" w:rsidRPr="0005399E" w:rsidRDefault="00C52BFC" w:rsidP="00125FEC">
      <w:pPr>
        <w:spacing w:after="0"/>
        <w:jc w:val="both"/>
        <w:rPr>
          <w:rFonts w:cs="Arial"/>
          <w:lang w:val="el-GR"/>
        </w:rPr>
      </w:pPr>
    </w:p>
    <w:p w14:paraId="708AD568" w14:textId="77777777" w:rsidR="00C52BFC" w:rsidRPr="0005399E" w:rsidRDefault="00C52BFC" w:rsidP="0005399E">
      <w:pPr>
        <w:pStyle w:val="ListParagraph"/>
        <w:numPr>
          <w:ilvl w:val="0"/>
          <w:numId w:val="2"/>
        </w:numPr>
        <w:spacing w:after="0"/>
        <w:ind w:left="284" w:hanging="284"/>
        <w:rPr>
          <w:rFonts w:cs="Arial"/>
          <w:b/>
          <w:u w:val="single"/>
          <w:lang w:val="el-GR"/>
        </w:rPr>
      </w:pPr>
      <w:r w:rsidRPr="0005399E">
        <w:rPr>
          <w:rFonts w:cs="Arial"/>
          <w:b/>
          <w:u w:val="single"/>
          <w:lang w:val="el-GR"/>
        </w:rPr>
        <w:t>Εισαγωγή</w:t>
      </w:r>
    </w:p>
    <w:p w14:paraId="1929F09E" w14:textId="77777777" w:rsidR="00134175" w:rsidRPr="0005399E" w:rsidRDefault="00134175" w:rsidP="0005399E">
      <w:pPr>
        <w:pStyle w:val="ListParagraph"/>
        <w:spacing w:after="0"/>
        <w:ind w:left="284"/>
        <w:rPr>
          <w:rFonts w:cs="Arial"/>
          <w:b/>
          <w:u w:val="single"/>
          <w:lang w:val="el-GR"/>
        </w:rPr>
      </w:pPr>
    </w:p>
    <w:p w14:paraId="79009E5C" w14:textId="77170318" w:rsidR="00ED29E1" w:rsidRPr="0005399E" w:rsidRDefault="00134175" w:rsidP="0005399E">
      <w:pPr>
        <w:spacing w:after="0"/>
        <w:jc w:val="both"/>
        <w:rPr>
          <w:rFonts w:cs="Arial"/>
          <w:lang w:val="el-GR"/>
        </w:rPr>
      </w:pPr>
      <w:r w:rsidRPr="00F02ABD">
        <w:rPr>
          <w:rFonts w:cs="Arial"/>
          <w:lang w:val="el-GR"/>
        </w:rPr>
        <w:t xml:space="preserve">Στόχος της παρούσας δημόσιας διαβούλευσης </w:t>
      </w:r>
      <w:r w:rsidR="00125FEC">
        <w:rPr>
          <w:rFonts w:cs="Arial"/>
          <w:lang w:val="el-GR"/>
        </w:rPr>
        <w:t xml:space="preserve">είναι να καλέσει τους ενδιαφερόμενους φορείς </w:t>
      </w:r>
      <w:r w:rsidRPr="00F02ABD">
        <w:rPr>
          <w:rFonts w:cs="Arial"/>
          <w:lang w:val="el-GR"/>
        </w:rPr>
        <w:t>να υποβάλουν σχόλια, παρατηρήσεις και προτάσεις σχετικά</w:t>
      </w:r>
      <w:r w:rsidR="00ED29E1" w:rsidRPr="0005399E">
        <w:rPr>
          <w:rFonts w:cs="Arial"/>
          <w:lang w:val="el-GR"/>
        </w:rPr>
        <w:t xml:space="preserve"> με το προσχέδιο νομοσχεδίου</w:t>
      </w:r>
      <w:r w:rsidR="00125FEC">
        <w:rPr>
          <w:rFonts w:cs="Arial"/>
          <w:lang w:val="el-GR"/>
        </w:rPr>
        <w:t>, το οποίο πρόκειται να τροποποιήσει</w:t>
      </w:r>
      <w:r w:rsidR="00ED29E1" w:rsidRPr="0005399E">
        <w:rPr>
          <w:rFonts w:cs="Arial"/>
          <w:lang w:val="el-GR"/>
        </w:rPr>
        <w:t xml:space="preserve"> </w:t>
      </w:r>
      <w:r w:rsidR="008C6263">
        <w:rPr>
          <w:rFonts w:cs="Arial"/>
          <w:lang w:val="el-GR"/>
        </w:rPr>
        <w:t xml:space="preserve">τον </w:t>
      </w:r>
      <w:r w:rsidR="00125FEC">
        <w:rPr>
          <w:rFonts w:cs="Arial"/>
          <w:lang w:val="el-GR"/>
        </w:rPr>
        <w:t>π</w:t>
      </w:r>
      <w:r w:rsidR="00ED29E1" w:rsidRPr="0005399E">
        <w:rPr>
          <w:rFonts w:cs="Arial"/>
          <w:lang w:val="el-GR"/>
        </w:rPr>
        <w:t xml:space="preserve">ερί της Προστασίας του Ανταγωνισμού Νόμο </w:t>
      </w:r>
      <w:r w:rsidR="008C6263">
        <w:rPr>
          <w:rFonts w:cs="Arial"/>
          <w:lang w:val="el-GR"/>
        </w:rPr>
        <w:t xml:space="preserve">αρ. </w:t>
      </w:r>
      <w:r w:rsidR="00125FEC">
        <w:rPr>
          <w:rFonts w:cs="Arial"/>
          <w:lang w:val="el-GR"/>
        </w:rPr>
        <w:t>13(Ι)/2022</w:t>
      </w:r>
      <w:r w:rsidR="008C6263">
        <w:rPr>
          <w:rFonts w:cs="Arial"/>
          <w:lang w:val="el-GR"/>
        </w:rPr>
        <w:t xml:space="preserve">, ο οποίος έχει τροποποιηθεί με τον </w:t>
      </w:r>
      <w:r w:rsidR="00125FEC">
        <w:rPr>
          <w:rFonts w:cs="Arial"/>
          <w:lang w:val="el-GR"/>
        </w:rPr>
        <w:t>Νόμο</w:t>
      </w:r>
      <w:r w:rsidR="008C6263">
        <w:rPr>
          <w:rFonts w:cs="Arial"/>
          <w:lang w:val="el-GR"/>
        </w:rPr>
        <w:t xml:space="preserve"> αρ.</w:t>
      </w:r>
      <w:r w:rsidR="00125FEC">
        <w:rPr>
          <w:rFonts w:cs="Arial"/>
          <w:lang w:val="el-GR"/>
        </w:rPr>
        <w:t xml:space="preserve"> 169(Ι)/2022</w:t>
      </w:r>
      <w:r w:rsidR="008C6263">
        <w:rPr>
          <w:rFonts w:cs="Arial"/>
          <w:lang w:val="el-GR"/>
        </w:rPr>
        <w:t xml:space="preserve">. </w:t>
      </w:r>
    </w:p>
    <w:p w14:paraId="6C5DEEF2" w14:textId="77777777" w:rsidR="00125FEC" w:rsidRDefault="00125FEC" w:rsidP="0005399E">
      <w:pPr>
        <w:spacing w:after="0"/>
        <w:jc w:val="both"/>
        <w:rPr>
          <w:rFonts w:eastAsia="SimSun" w:cs="Arial"/>
          <w:lang w:val="el-GR" w:eastAsia="zh-CN"/>
        </w:rPr>
      </w:pPr>
    </w:p>
    <w:p w14:paraId="48983367" w14:textId="5AFBC853" w:rsidR="00FE29FA" w:rsidRDefault="00ED29E1" w:rsidP="0005399E">
      <w:pPr>
        <w:spacing w:after="0"/>
        <w:jc w:val="both"/>
        <w:rPr>
          <w:rFonts w:eastAsia="SimSun" w:cs="Arial"/>
          <w:lang w:val="el-GR" w:eastAsia="zh-CN"/>
        </w:rPr>
      </w:pPr>
      <w:r w:rsidRPr="0005399E">
        <w:rPr>
          <w:rFonts w:eastAsia="SimSun" w:cs="Arial"/>
          <w:lang w:val="el-GR" w:eastAsia="zh-CN"/>
        </w:rPr>
        <w:t xml:space="preserve">Οι προτεινόμενες </w:t>
      </w:r>
      <w:r w:rsidR="00125FEC">
        <w:rPr>
          <w:rFonts w:eastAsia="SimSun" w:cs="Arial"/>
          <w:lang w:val="el-GR" w:eastAsia="zh-CN"/>
        </w:rPr>
        <w:t>ρυθμίσεις</w:t>
      </w:r>
      <w:r w:rsidRPr="0005399E">
        <w:rPr>
          <w:rFonts w:eastAsia="SimSun" w:cs="Arial"/>
          <w:lang w:val="el-GR" w:eastAsia="zh-CN"/>
        </w:rPr>
        <w:t xml:space="preserve"> κρίνονται αναγκαίες και απαραίτητες για σκοπούς μεταφοράς και εναρμόνισης του εθνικού δικαίου με τον </w:t>
      </w:r>
      <w:r w:rsidR="00B63872">
        <w:rPr>
          <w:rFonts w:eastAsia="SimSun" w:cs="Arial"/>
          <w:lang w:val="el-GR" w:eastAsia="zh-CN"/>
        </w:rPr>
        <w:t xml:space="preserve">Ευρωπαϊκό </w:t>
      </w:r>
      <w:r w:rsidRPr="0005399E">
        <w:rPr>
          <w:rFonts w:eastAsia="SimSun" w:cs="Arial"/>
          <w:lang w:val="el-GR" w:eastAsia="zh-CN"/>
        </w:rPr>
        <w:t>Κανονισμό</w:t>
      </w:r>
      <w:r w:rsidR="008D5708">
        <w:rPr>
          <w:rFonts w:eastAsia="SimSun" w:cs="Arial"/>
          <w:lang w:val="el-GR" w:eastAsia="zh-CN"/>
        </w:rPr>
        <w:t xml:space="preserve"> (ΕΕ)</w:t>
      </w:r>
      <w:r w:rsidRPr="0005399E">
        <w:rPr>
          <w:rFonts w:eastAsia="SimSun" w:cs="Arial"/>
          <w:lang w:val="el-GR" w:eastAsia="zh-CN"/>
        </w:rPr>
        <w:t xml:space="preserve"> </w:t>
      </w:r>
      <w:r w:rsidR="000B15AC">
        <w:rPr>
          <w:rFonts w:eastAsia="SimSun" w:cs="Arial"/>
          <w:lang w:val="el-GR" w:eastAsia="zh-CN"/>
        </w:rPr>
        <w:t xml:space="preserve">αρ. </w:t>
      </w:r>
      <w:r w:rsidRPr="0005399E">
        <w:rPr>
          <w:rFonts w:eastAsia="SimSun" w:cs="Arial"/>
          <w:lang w:val="el-GR" w:eastAsia="zh-CN"/>
        </w:rPr>
        <w:t>2022/1925</w:t>
      </w:r>
      <w:r w:rsidR="008C6263">
        <w:rPr>
          <w:rStyle w:val="FootnoteReference"/>
          <w:rFonts w:eastAsia="SimSun" w:cs="Arial"/>
          <w:lang w:val="el-GR" w:eastAsia="zh-CN"/>
        </w:rPr>
        <w:footnoteReference w:id="1"/>
      </w:r>
      <w:r w:rsidR="000B15AC">
        <w:rPr>
          <w:rFonts w:eastAsia="SimSun" w:cs="Arial"/>
          <w:lang w:val="el-GR" w:eastAsia="zh-CN"/>
        </w:rPr>
        <w:t xml:space="preserve"> (εφεξής «Κανονισμό (ΕΕ) αρ. 2022/1925)</w:t>
      </w:r>
      <w:r w:rsidR="00EC53DC">
        <w:rPr>
          <w:rFonts w:eastAsia="SimSun" w:cs="Arial"/>
          <w:lang w:val="el-GR" w:eastAsia="zh-CN"/>
        </w:rPr>
        <w:t xml:space="preserve">, εκχώρησης των απαραίτητων αρμοδιοτήτων και εξουσιών </w:t>
      </w:r>
      <w:r w:rsidRPr="00B63872">
        <w:rPr>
          <w:rFonts w:eastAsia="SimSun" w:cs="Arial"/>
          <w:lang w:val="el-GR" w:eastAsia="zh-CN"/>
        </w:rPr>
        <w:t>στην Επιτροπή</w:t>
      </w:r>
      <w:r w:rsidR="00AD188C" w:rsidRPr="00B63872">
        <w:rPr>
          <w:rFonts w:eastAsia="SimSun" w:cs="Arial"/>
          <w:lang w:val="el-GR" w:eastAsia="zh-CN"/>
        </w:rPr>
        <w:t xml:space="preserve"> </w:t>
      </w:r>
      <w:r w:rsidRPr="00B63872">
        <w:rPr>
          <w:rFonts w:eastAsia="SimSun" w:cs="Arial"/>
          <w:lang w:val="el-GR" w:eastAsia="zh-CN"/>
        </w:rPr>
        <w:t>ώστε να μπορεί να συνεργάζεται με την Ευρωπαϊκή Επιτροπή αποτελεσματικά κατά τη εφαρμογή του υπό αναφορά Ευρωπαϊκού Κανονισμού</w:t>
      </w:r>
      <w:r w:rsidR="00566067">
        <w:rPr>
          <w:rFonts w:eastAsia="SimSun" w:cs="Arial"/>
          <w:lang w:val="el-GR" w:eastAsia="zh-CN"/>
        </w:rPr>
        <w:t xml:space="preserve"> καθώς επίσης και για εναρμόνιση με τον περί της Δέκατης Εβδόμης Τροποποίησης του Συντάγματος Νόμο του 2022 όσο και με τις </w:t>
      </w:r>
      <w:r w:rsidR="00F566A0">
        <w:rPr>
          <w:rFonts w:eastAsia="SimSun" w:cs="Arial"/>
          <w:lang w:val="el-GR" w:eastAsia="zh-CN"/>
        </w:rPr>
        <w:t>πρόσφατες</w:t>
      </w:r>
      <w:r w:rsidR="00566067">
        <w:rPr>
          <w:rFonts w:eastAsia="SimSun" w:cs="Arial"/>
          <w:lang w:val="el-GR" w:eastAsia="zh-CN"/>
        </w:rPr>
        <w:t xml:space="preserve"> τροποποιήσεις του περί Απονομής της Δικαιοσύνης (Ποικίλες Διατάξεις) Νόμου του 1964 (33/1964)</w:t>
      </w:r>
      <w:r w:rsidR="00F566A0">
        <w:rPr>
          <w:rFonts w:eastAsia="SimSun" w:cs="Arial"/>
          <w:lang w:val="el-GR" w:eastAsia="zh-CN"/>
        </w:rPr>
        <w:t xml:space="preserve"> ως έχει τροποποιηθεί</w:t>
      </w:r>
      <w:r w:rsidRPr="00B63872">
        <w:rPr>
          <w:rFonts w:eastAsia="SimSun" w:cs="Arial"/>
          <w:lang w:val="el-GR" w:eastAsia="zh-CN"/>
        </w:rPr>
        <w:t>.</w:t>
      </w:r>
      <w:r w:rsidRPr="0005399E">
        <w:rPr>
          <w:rFonts w:eastAsia="SimSun" w:cs="Arial"/>
          <w:lang w:val="el-GR" w:eastAsia="zh-CN"/>
        </w:rPr>
        <w:t xml:space="preserve"> </w:t>
      </w:r>
    </w:p>
    <w:p w14:paraId="132BF0B3" w14:textId="77777777" w:rsidR="00FE29FA" w:rsidRDefault="00FE29FA" w:rsidP="0005399E">
      <w:pPr>
        <w:spacing w:after="0"/>
        <w:jc w:val="both"/>
        <w:rPr>
          <w:rFonts w:eastAsia="SimSun" w:cs="Arial"/>
          <w:lang w:val="el-GR" w:eastAsia="zh-CN"/>
        </w:rPr>
      </w:pPr>
    </w:p>
    <w:p w14:paraId="27C81BC5" w14:textId="48A647B7" w:rsidR="00ED29E1" w:rsidRPr="00B63872" w:rsidRDefault="00ED29E1" w:rsidP="0005399E">
      <w:pPr>
        <w:spacing w:after="0"/>
        <w:jc w:val="both"/>
        <w:rPr>
          <w:rFonts w:eastAsia="SimSun" w:cs="Arial"/>
          <w:lang w:val="el-GR" w:eastAsia="zh-CN"/>
        </w:rPr>
      </w:pPr>
      <w:r w:rsidRPr="0005399E">
        <w:rPr>
          <w:rFonts w:eastAsia="SimSun" w:cs="Arial"/>
          <w:lang w:val="el-GR" w:eastAsia="zh-CN"/>
        </w:rPr>
        <w:t>Επιπλέον, προωθούνται αλλαγές ώστε να περιληφθούν πρόνοιες που αφορούν την εφαρμογή του</w:t>
      </w:r>
      <w:r w:rsidRPr="0005399E">
        <w:rPr>
          <w:rFonts w:eastAsia="SimSun" w:cs="Arial"/>
          <w:bCs/>
          <w:lang w:val="el-GR" w:eastAsia="zh-CN"/>
        </w:rPr>
        <w:t xml:space="preserve"> περί της Προστασίας Προσώπων που Αναφέρουν Παραβάσεις του Ενωσιακού και </w:t>
      </w:r>
      <w:r w:rsidRPr="0005399E">
        <w:rPr>
          <w:rFonts w:eastAsia="SimSun" w:cs="Arial"/>
          <w:bCs/>
          <w:lang w:val="el-GR" w:eastAsia="zh-CN"/>
        </w:rPr>
        <w:lastRenderedPageBreak/>
        <w:t>Εθνικού Δικαίου Νόμου του 2022 (Ν. 6(I)/2022</w:t>
      </w:r>
      <w:r w:rsidR="00EB4922">
        <w:rPr>
          <w:rFonts w:eastAsia="SimSun" w:cs="Arial"/>
          <w:bCs/>
          <w:lang w:val="el-GR" w:eastAsia="zh-CN"/>
        </w:rPr>
        <w:t>)</w:t>
      </w:r>
      <w:r w:rsidR="00EC53DC">
        <w:rPr>
          <w:rFonts w:eastAsia="SimSun" w:cs="Arial"/>
          <w:bCs/>
          <w:lang w:val="el-GR" w:eastAsia="zh-CN"/>
        </w:rPr>
        <w:t xml:space="preserve">. Επιπρόσθετα, με το εν λόγω τροποποιητικό νομοσχέδιο προωθούνται </w:t>
      </w:r>
      <w:r w:rsidR="007578EC">
        <w:rPr>
          <w:rFonts w:eastAsia="SimSun" w:cs="Arial"/>
          <w:bCs/>
          <w:lang w:val="el-GR" w:eastAsia="zh-CN"/>
        </w:rPr>
        <w:t>δ</w:t>
      </w:r>
      <w:r w:rsidR="00AD188C" w:rsidRPr="0005399E">
        <w:rPr>
          <w:rFonts w:eastAsia="SimSun" w:cs="Arial"/>
          <w:lang w:val="el-GR" w:eastAsia="zh-CN"/>
        </w:rPr>
        <w:t xml:space="preserve">ιορθωτικές τροποποιήσεις που θα παρέχουν σαφέστερο νομοθετικό πλαίσιο που θα συνεισφέρει ουσιωδώς </w:t>
      </w:r>
      <w:r w:rsidR="00F566A0">
        <w:rPr>
          <w:rFonts w:eastAsia="SimSun" w:cs="Arial"/>
          <w:lang w:val="el-GR" w:eastAsia="zh-CN"/>
        </w:rPr>
        <w:t xml:space="preserve">και </w:t>
      </w:r>
      <w:r w:rsidR="00AD188C" w:rsidRPr="0005399E">
        <w:rPr>
          <w:rFonts w:eastAsia="SimSun" w:cs="Arial"/>
          <w:lang w:val="el-GR" w:eastAsia="zh-CN"/>
        </w:rPr>
        <w:t>στην βελτίωση της εφαρμογής της υφιστάμενης νομοθεσίας</w:t>
      </w:r>
      <w:r w:rsidR="00F566A0">
        <w:rPr>
          <w:rFonts w:eastAsia="SimSun" w:cs="Arial"/>
          <w:lang w:val="el-GR" w:eastAsia="zh-CN"/>
        </w:rPr>
        <w:t xml:space="preserve"> και της σαφήνειας των προνοιών αυτής όπως επίσης και τροποποιήσεις για αποτελεσματικότερή εφαρμογή της νομοθεσίας ενώ επίσης δίνεται η δυνατότητα στο Διοικητικό Δικαστήριο να τροποποιεί εν όλω ή εν μέρει την απόφαση της Επιτροπής αναφορικά με την επιβολή διοικητικού προστίμου βάσει του άρθρου 146 του Συντάγματος</w:t>
      </w:r>
      <w:r w:rsidR="00AD188C" w:rsidRPr="0005399E">
        <w:rPr>
          <w:rFonts w:eastAsia="SimSun" w:cs="Arial"/>
          <w:lang w:val="el-GR" w:eastAsia="zh-CN"/>
        </w:rPr>
        <w:t xml:space="preserve">. </w:t>
      </w:r>
    </w:p>
    <w:p w14:paraId="42DE2138" w14:textId="77777777" w:rsidR="00134175" w:rsidRPr="0005399E" w:rsidRDefault="00134175" w:rsidP="0005399E">
      <w:pPr>
        <w:pStyle w:val="ListParagraph"/>
        <w:spacing w:after="0"/>
        <w:ind w:left="284"/>
        <w:rPr>
          <w:rFonts w:cs="Arial"/>
          <w:b/>
          <w:u w:val="single"/>
          <w:lang w:val="el-GR"/>
        </w:rPr>
      </w:pPr>
    </w:p>
    <w:p w14:paraId="5EAD3437" w14:textId="3A6D2B94" w:rsidR="00C52BFC" w:rsidRDefault="00C52BFC" w:rsidP="0005399E">
      <w:pPr>
        <w:pStyle w:val="ListParagraph"/>
        <w:numPr>
          <w:ilvl w:val="0"/>
          <w:numId w:val="2"/>
        </w:numPr>
        <w:spacing w:after="0"/>
        <w:ind w:left="284" w:hanging="284"/>
        <w:rPr>
          <w:rFonts w:cs="Arial"/>
          <w:b/>
          <w:u w:val="single"/>
          <w:lang w:val="el-GR"/>
        </w:rPr>
      </w:pPr>
      <w:r w:rsidRPr="0005399E">
        <w:rPr>
          <w:rFonts w:cs="Arial"/>
          <w:b/>
          <w:u w:val="single"/>
          <w:lang w:val="el-GR"/>
        </w:rPr>
        <w:t xml:space="preserve">Κύρια σημεία προτεινόμενου νομοσχεδίου </w:t>
      </w:r>
    </w:p>
    <w:p w14:paraId="092D9DC4" w14:textId="77777777" w:rsidR="0005399E" w:rsidRPr="0005399E" w:rsidRDefault="0005399E" w:rsidP="0005399E">
      <w:pPr>
        <w:pStyle w:val="ListParagraph"/>
        <w:spacing w:after="0"/>
        <w:ind w:left="284"/>
        <w:rPr>
          <w:rFonts w:cs="Arial"/>
          <w:b/>
          <w:u w:val="single"/>
          <w:lang w:val="el-GR"/>
        </w:rPr>
      </w:pPr>
    </w:p>
    <w:p w14:paraId="35B8F7C6" w14:textId="360A293E" w:rsidR="00AD188C" w:rsidRDefault="00AD188C" w:rsidP="0005399E">
      <w:pPr>
        <w:spacing w:after="0"/>
        <w:rPr>
          <w:rFonts w:cs="Arial"/>
          <w:lang w:val="el-GR"/>
        </w:rPr>
      </w:pPr>
      <w:bookmarkStart w:id="0" w:name="_Hlk155265670"/>
      <w:r w:rsidRPr="00F02ABD">
        <w:rPr>
          <w:rFonts w:cs="Arial"/>
          <w:lang w:val="el-GR"/>
        </w:rPr>
        <w:t>Τα κυριότερα σημεία που καλύπτει το προσχέδιο νομοσχεδίου είναι τα εξής</w:t>
      </w:r>
      <w:r w:rsidRPr="0005399E">
        <w:rPr>
          <w:rFonts w:cs="Arial"/>
          <w:lang w:val="el-GR"/>
        </w:rPr>
        <w:t>:</w:t>
      </w:r>
    </w:p>
    <w:p w14:paraId="3EDCFC7A" w14:textId="77777777" w:rsidR="0005399E" w:rsidRPr="0005399E" w:rsidRDefault="0005399E" w:rsidP="0005399E">
      <w:pPr>
        <w:spacing w:after="0"/>
        <w:rPr>
          <w:rFonts w:cs="Arial"/>
          <w:lang w:val="el-GR"/>
        </w:rPr>
      </w:pPr>
    </w:p>
    <w:p w14:paraId="7A15614E" w14:textId="73C55918" w:rsidR="00755637" w:rsidRDefault="0005399E" w:rsidP="00AA01E5">
      <w:pPr>
        <w:pStyle w:val="ListParagraph"/>
        <w:numPr>
          <w:ilvl w:val="0"/>
          <w:numId w:val="4"/>
        </w:numPr>
        <w:spacing w:after="0"/>
        <w:jc w:val="both"/>
        <w:rPr>
          <w:rFonts w:cs="Arial"/>
          <w:lang w:val="el-GR"/>
        </w:rPr>
      </w:pPr>
      <w:r w:rsidRPr="003A2A15">
        <w:rPr>
          <w:rFonts w:cs="Arial"/>
          <w:u w:val="single"/>
          <w:lang w:val="el-GR"/>
        </w:rPr>
        <w:t>Άρθρο</w:t>
      </w:r>
      <w:r w:rsidR="004A561A" w:rsidRPr="003A2A15">
        <w:rPr>
          <w:rFonts w:cs="Arial"/>
          <w:u w:val="single"/>
          <w:lang w:val="el-GR"/>
        </w:rPr>
        <w:t xml:space="preserve"> 17</w:t>
      </w:r>
      <w:r w:rsidR="00EA01C8">
        <w:rPr>
          <w:rFonts w:cs="Arial"/>
          <w:u w:val="single"/>
          <w:lang w:val="el-GR"/>
        </w:rPr>
        <w:t>(3)</w:t>
      </w:r>
      <w:r w:rsidR="00F705AA" w:rsidRPr="003A2A15">
        <w:rPr>
          <w:rFonts w:cs="Arial"/>
          <w:lang w:val="el-GR"/>
        </w:rPr>
        <w:t xml:space="preserve">: προτείνεται </w:t>
      </w:r>
      <w:r w:rsidR="003A2A15" w:rsidRPr="003A2A15">
        <w:rPr>
          <w:rFonts w:cs="Arial"/>
          <w:lang w:val="el-GR"/>
        </w:rPr>
        <w:t>η αντικατάστασ</w:t>
      </w:r>
      <w:r w:rsidR="00EA01C8">
        <w:rPr>
          <w:rFonts w:cs="Arial"/>
          <w:lang w:val="el-GR"/>
        </w:rPr>
        <w:t>ή</w:t>
      </w:r>
      <w:r w:rsidR="003A2A15" w:rsidRPr="003A2A15">
        <w:rPr>
          <w:rFonts w:cs="Arial"/>
          <w:lang w:val="el-GR"/>
        </w:rPr>
        <w:t xml:space="preserve"> του</w:t>
      </w:r>
      <w:r w:rsidR="00EA01C8">
        <w:rPr>
          <w:rFonts w:cs="Arial"/>
          <w:lang w:val="el-GR"/>
        </w:rPr>
        <w:t xml:space="preserve"> </w:t>
      </w:r>
      <w:r w:rsidR="003A2A15" w:rsidRPr="003A2A15">
        <w:rPr>
          <w:rFonts w:cs="Arial"/>
          <w:lang w:val="el-GR"/>
        </w:rPr>
        <w:t>ώστε τα πρακτικά και οι αποφάσεις της Επιτροπής να υπογράφονται μόνο από τον Πρόεδρο της Επιτροπής, για σκοπούς μεγαλύτερης ευελιξίας και επιτάχυνσης των διαδικασιών της Επιτροπής, δεδομένου ότι τα πρακτικά εγκρίνονται σε συνεδρία της Επιτροπής, στην οποία παρευρίσκονται τα μέλη που λαμβάνουν τις αποφάσεις.</w:t>
      </w:r>
    </w:p>
    <w:p w14:paraId="5D152EC2" w14:textId="2E1A0E40" w:rsidR="00F705AA" w:rsidRPr="00BD2BBA" w:rsidRDefault="00EA01C8" w:rsidP="0005399E">
      <w:pPr>
        <w:pStyle w:val="ListParagraph"/>
        <w:numPr>
          <w:ilvl w:val="0"/>
          <w:numId w:val="4"/>
        </w:numPr>
        <w:spacing w:after="0"/>
        <w:jc w:val="both"/>
        <w:rPr>
          <w:rFonts w:cs="Arial"/>
          <w:u w:val="single"/>
          <w:lang w:val="el-GR"/>
        </w:rPr>
      </w:pPr>
      <w:r w:rsidRPr="00B72699">
        <w:rPr>
          <w:rFonts w:eastAsia="SimSun" w:cs="Arial"/>
          <w:u w:val="single"/>
          <w:lang w:val="el-GR" w:eastAsia="zh-CN"/>
        </w:rPr>
        <w:t>Άρθρο 21</w:t>
      </w:r>
      <w:r>
        <w:rPr>
          <w:rFonts w:eastAsia="SimSun" w:cs="Arial"/>
          <w:u w:val="single"/>
          <w:lang w:val="el-GR" w:eastAsia="zh-CN"/>
        </w:rPr>
        <w:t>(2)(β) και Άρθρο 21(9)</w:t>
      </w:r>
      <w:r w:rsidR="00F705AA" w:rsidRPr="0005399E">
        <w:rPr>
          <w:rFonts w:eastAsia="SimSun" w:cs="Arial"/>
          <w:u w:val="single"/>
          <w:lang w:val="el-GR" w:eastAsia="zh-CN"/>
        </w:rPr>
        <w:t>:</w:t>
      </w:r>
      <w:r w:rsidR="00F705AA" w:rsidRPr="0005399E">
        <w:rPr>
          <w:rFonts w:eastAsia="SimSun" w:cs="Arial"/>
          <w:lang w:val="el-GR" w:eastAsia="zh-CN"/>
        </w:rPr>
        <w:t xml:space="preserve"> προτείνεται η</w:t>
      </w:r>
      <w:r w:rsidR="003A2A15" w:rsidRPr="003A2A15">
        <w:rPr>
          <w:rFonts w:eastAsia="SimSun" w:cs="Arial"/>
          <w:lang w:val="el-GR" w:eastAsia="zh-CN"/>
        </w:rPr>
        <w:t xml:space="preserve"> αντικατάστασ</w:t>
      </w:r>
      <w:r>
        <w:rPr>
          <w:rFonts w:eastAsia="SimSun" w:cs="Arial"/>
          <w:lang w:val="el-GR" w:eastAsia="zh-CN"/>
        </w:rPr>
        <w:t>ή</w:t>
      </w:r>
      <w:r w:rsidR="003A2A15" w:rsidRPr="003A2A15">
        <w:rPr>
          <w:rFonts w:eastAsia="SimSun" w:cs="Arial"/>
          <w:lang w:val="el-GR" w:eastAsia="zh-CN"/>
        </w:rPr>
        <w:t xml:space="preserve"> </w:t>
      </w:r>
      <w:r>
        <w:rPr>
          <w:rFonts w:eastAsia="SimSun" w:cs="Arial"/>
          <w:lang w:val="el-GR" w:eastAsia="zh-CN"/>
        </w:rPr>
        <w:t xml:space="preserve">τους </w:t>
      </w:r>
      <w:r w:rsidR="003A2A15">
        <w:rPr>
          <w:rFonts w:eastAsia="SimSun" w:cs="Arial"/>
          <w:lang w:val="el-GR" w:eastAsia="zh-CN"/>
        </w:rPr>
        <w:t>ώστε να προωθηθεί η</w:t>
      </w:r>
      <w:r w:rsidR="003A2A15" w:rsidRPr="003A2A15">
        <w:rPr>
          <w:rFonts w:eastAsia="SimSun" w:cs="Arial"/>
          <w:lang w:val="el-GR" w:eastAsia="zh-CN"/>
        </w:rPr>
        <w:t xml:space="preserve"> </w:t>
      </w:r>
      <w:r w:rsidR="004B517C">
        <w:rPr>
          <w:rFonts w:eastAsia="SimSun" w:cs="Arial"/>
          <w:lang w:val="el-GR" w:eastAsia="zh-CN"/>
        </w:rPr>
        <w:t>δημιουργία</w:t>
      </w:r>
      <w:r w:rsidR="00F705AA" w:rsidRPr="0005399E">
        <w:rPr>
          <w:rFonts w:eastAsia="SimSun" w:cs="Arial"/>
          <w:lang w:val="el-GR" w:eastAsia="zh-CN"/>
        </w:rPr>
        <w:t xml:space="preserve"> </w:t>
      </w:r>
      <w:r w:rsidR="00F705AA" w:rsidRPr="00755637">
        <w:rPr>
          <w:rFonts w:eastAsia="SimSun" w:cs="Arial"/>
          <w:lang w:val="el-GR" w:eastAsia="zh-CN"/>
        </w:rPr>
        <w:t>«Γραμματεία της Επιτροπής»</w:t>
      </w:r>
      <w:r w:rsidR="00F705AA" w:rsidRPr="0005399E">
        <w:rPr>
          <w:rFonts w:eastAsia="SimSun" w:cs="Arial"/>
          <w:lang w:val="el-GR" w:eastAsia="zh-CN"/>
        </w:rPr>
        <w:t xml:space="preserve"> </w:t>
      </w:r>
      <w:r w:rsidR="003A2A15">
        <w:rPr>
          <w:rFonts w:eastAsia="SimSun" w:cs="Arial"/>
          <w:lang w:val="el-GR" w:eastAsia="zh-CN"/>
        </w:rPr>
        <w:t xml:space="preserve">και να ορισθούν τα καθήκοντά </w:t>
      </w:r>
      <w:r w:rsidR="00DA723F">
        <w:rPr>
          <w:rFonts w:eastAsia="SimSun" w:cs="Arial"/>
          <w:lang w:val="el-GR" w:eastAsia="zh-CN"/>
        </w:rPr>
        <w:t xml:space="preserve">της, </w:t>
      </w:r>
      <w:r w:rsidR="00C91321">
        <w:rPr>
          <w:rFonts w:eastAsia="SimSun" w:cs="Arial"/>
          <w:lang w:val="el-GR" w:eastAsia="zh-CN"/>
        </w:rPr>
        <w:t>με στόχο την</w:t>
      </w:r>
      <w:r w:rsidR="00DA723F">
        <w:rPr>
          <w:rFonts w:eastAsia="SimSun" w:cs="Arial"/>
          <w:lang w:val="el-GR" w:eastAsia="zh-CN"/>
        </w:rPr>
        <w:t xml:space="preserve"> μεγαλύτερη ευελιξία, ταχύτητα και ευκολία στην διεκπεραίωση των σχετικών καθηκόντων. </w:t>
      </w:r>
    </w:p>
    <w:p w14:paraId="38A16DC4" w14:textId="7F688598" w:rsidR="00F566A0" w:rsidRPr="00755637" w:rsidRDefault="00F566A0" w:rsidP="0005399E">
      <w:pPr>
        <w:pStyle w:val="ListParagraph"/>
        <w:numPr>
          <w:ilvl w:val="0"/>
          <w:numId w:val="4"/>
        </w:numPr>
        <w:spacing w:after="0"/>
        <w:jc w:val="both"/>
        <w:rPr>
          <w:rFonts w:cs="Arial"/>
          <w:u w:val="single"/>
          <w:lang w:val="el-GR"/>
        </w:rPr>
      </w:pPr>
      <w:r>
        <w:rPr>
          <w:rFonts w:eastAsia="SimSun" w:cs="Arial"/>
          <w:u w:val="single"/>
          <w:lang w:val="el-GR" w:eastAsia="zh-CN"/>
        </w:rPr>
        <w:t>Άρθρο 25(2)(β):</w:t>
      </w:r>
      <w:r>
        <w:rPr>
          <w:rFonts w:cs="Arial"/>
          <w:lang w:val="el-GR"/>
        </w:rPr>
        <w:t xml:space="preserve"> προτείνεται προσθήκη της αναφοράς στο Ανώτατο Συνταγματικό Δικαστήριο και στο Εφετείο υπό το φως των αλλαγών που επήλθαν στη δικαστική εξουσία.</w:t>
      </w:r>
    </w:p>
    <w:p w14:paraId="48CAC851" w14:textId="63D05AC1" w:rsidR="00755637" w:rsidRPr="00EB4922" w:rsidRDefault="0069743E" w:rsidP="00EB4922">
      <w:pPr>
        <w:pStyle w:val="ListParagraph"/>
        <w:numPr>
          <w:ilvl w:val="0"/>
          <w:numId w:val="4"/>
        </w:numPr>
        <w:spacing w:after="0"/>
        <w:jc w:val="both"/>
        <w:rPr>
          <w:rFonts w:cs="Arial"/>
          <w:u w:val="single"/>
          <w:lang w:val="el-GR"/>
        </w:rPr>
      </w:pPr>
      <w:r>
        <w:rPr>
          <w:rFonts w:cs="Arial"/>
          <w:u w:val="single"/>
          <w:lang w:val="el-GR"/>
        </w:rPr>
        <w:t>Ά</w:t>
      </w:r>
      <w:r w:rsidRPr="00B72699">
        <w:rPr>
          <w:rFonts w:cs="Arial"/>
          <w:u w:val="single"/>
          <w:lang w:val="el-GR"/>
        </w:rPr>
        <w:t>ρθρο 26</w:t>
      </w:r>
      <w:r>
        <w:rPr>
          <w:rFonts w:cs="Arial"/>
          <w:u w:val="single"/>
          <w:lang w:val="el-GR"/>
        </w:rPr>
        <w:t>(2)(στ)</w:t>
      </w:r>
      <w:r w:rsidR="00755637" w:rsidRPr="00EB4922">
        <w:rPr>
          <w:rFonts w:cs="Arial"/>
          <w:u w:val="single"/>
          <w:lang w:val="el-GR"/>
        </w:rPr>
        <w:t>:</w:t>
      </w:r>
      <w:r w:rsidR="00755637" w:rsidRPr="00EB4922">
        <w:rPr>
          <w:rFonts w:cs="Arial"/>
          <w:lang w:val="el-GR"/>
        </w:rPr>
        <w:t xml:space="preserve"> προτείνεται </w:t>
      </w:r>
      <w:r w:rsidR="00755637" w:rsidRPr="00EB4922">
        <w:rPr>
          <w:rFonts w:eastAsia="SimSun" w:cs="Arial"/>
          <w:lang w:val="el-GR" w:eastAsia="zh-CN"/>
        </w:rPr>
        <w:t xml:space="preserve">η προσθήκη </w:t>
      </w:r>
      <w:r>
        <w:rPr>
          <w:rFonts w:eastAsia="SimSun" w:cs="Arial"/>
          <w:lang w:val="el-GR" w:eastAsia="zh-CN"/>
        </w:rPr>
        <w:t>της δυνατότητας</w:t>
      </w:r>
      <w:r w:rsidR="00755637" w:rsidRPr="00EB4922">
        <w:rPr>
          <w:rFonts w:eastAsia="SimSun" w:cs="Arial"/>
          <w:lang w:val="el-GR" w:eastAsia="zh-CN"/>
        </w:rPr>
        <w:t xml:space="preserve"> παρακολούθηση</w:t>
      </w:r>
      <w:r>
        <w:rPr>
          <w:rFonts w:eastAsia="SimSun" w:cs="Arial"/>
          <w:lang w:val="el-GR" w:eastAsia="zh-CN"/>
        </w:rPr>
        <w:t>ς</w:t>
      </w:r>
      <w:r w:rsidR="00755637" w:rsidRPr="00EB4922">
        <w:rPr>
          <w:rFonts w:eastAsia="SimSun" w:cs="Arial"/>
          <w:lang w:val="el-GR" w:eastAsia="zh-CN"/>
        </w:rPr>
        <w:t xml:space="preserve"> της αγοράς ή/και της εφαρμογής και των αποτελεσμάτων των αποφάσεων της Επιτροπής. </w:t>
      </w:r>
    </w:p>
    <w:p w14:paraId="650CF1F5" w14:textId="7E1CEA86" w:rsidR="002054A7" w:rsidRPr="002054A7" w:rsidRDefault="00EB4922" w:rsidP="00C921B7">
      <w:pPr>
        <w:pStyle w:val="ListParagraph"/>
        <w:numPr>
          <w:ilvl w:val="0"/>
          <w:numId w:val="4"/>
        </w:numPr>
        <w:spacing w:after="0"/>
        <w:jc w:val="both"/>
        <w:rPr>
          <w:rFonts w:cs="Arial"/>
          <w:u w:val="single"/>
          <w:lang w:val="el-GR"/>
        </w:rPr>
      </w:pPr>
      <w:r w:rsidRPr="003A2A15">
        <w:rPr>
          <w:rFonts w:cs="Arial"/>
          <w:u w:val="single"/>
          <w:lang w:val="el-GR"/>
        </w:rPr>
        <w:t>Άρθρο 38:</w:t>
      </w:r>
      <w:r w:rsidRPr="002054A7">
        <w:rPr>
          <w:rFonts w:cs="Arial"/>
          <w:lang w:val="el-GR"/>
        </w:rPr>
        <w:t xml:space="preserve"> </w:t>
      </w:r>
      <w:r w:rsidRPr="003A2A15">
        <w:rPr>
          <w:rFonts w:cs="Arial"/>
          <w:lang w:val="el-GR"/>
        </w:rPr>
        <w:t xml:space="preserve">προτείνεται </w:t>
      </w:r>
      <w:r w:rsidR="002054A7">
        <w:rPr>
          <w:rFonts w:cs="Arial"/>
          <w:lang w:val="el-GR"/>
        </w:rPr>
        <w:t>η τροποποίησ</w:t>
      </w:r>
      <w:r w:rsidR="00643E61">
        <w:rPr>
          <w:rFonts w:cs="Arial"/>
          <w:lang w:val="el-GR"/>
        </w:rPr>
        <w:t>ή</w:t>
      </w:r>
      <w:r w:rsidR="002054A7">
        <w:rPr>
          <w:rFonts w:cs="Arial"/>
          <w:lang w:val="el-GR"/>
        </w:rPr>
        <w:t xml:space="preserve"> του </w:t>
      </w:r>
      <w:r w:rsidR="00595DFE">
        <w:rPr>
          <w:rFonts w:cs="Arial"/>
          <w:lang w:val="el-GR"/>
        </w:rPr>
        <w:t>για κατ’ αναλογίαν εφαρμογή των όσων ορίζονται στο άρθρο 37(4) του βασικού νόμου</w:t>
      </w:r>
      <w:r w:rsidR="00700121">
        <w:rPr>
          <w:rFonts w:cs="Arial"/>
          <w:lang w:val="el-GR"/>
        </w:rPr>
        <w:t>,</w:t>
      </w:r>
      <w:r w:rsidR="00595DFE">
        <w:rPr>
          <w:rFonts w:cs="Arial"/>
          <w:lang w:val="el-GR"/>
        </w:rPr>
        <w:t xml:space="preserve"> </w:t>
      </w:r>
      <w:r w:rsidR="00700121">
        <w:rPr>
          <w:rFonts w:cs="Arial"/>
          <w:lang w:val="el-GR"/>
        </w:rPr>
        <w:t xml:space="preserve">για βέλτιστη εφαρμογή </w:t>
      </w:r>
      <w:r w:rsidR="002C7814">
        <w:rPr>
          <w:rFonts w:cs="Arial"/>
          <w:lang w:val="el-GR"/>
        </w:rPr>
        <w:t xml:space="preserve">του </w:t>
      </w:r>
      <w:r w:rsidR="002C7814">
        <w:rPr>
          <w:rFonts w:eastAsia="SimSun" w:cs="Arial"/>
          <w:lang w:val="el-GR" w:eastAsia="zh-CN"/>
        </w:rPr>
        <w:t xml:space="preserve">Κανονισμού (ΕΕ) αρ. 2022/1925 </w:t>
      </w:r>
      <w:r w:rsidR="00700121">
        <w:rPr>
          <w:rFonts w:cs="Arial"/>
          <w:lang w:val="el-GR"/>
        </w:rPr>
        <w:t xml:space="preserve">και για δυνατότητα καθορισμού διαδικασίας ως προς τη διαχείριση στοιχείων. </w:t>
      </w:r>
    </w:p>
    <w:p w14:paraId="6BF943D5" w14:textId="0BA1BE2E" w:rsidR="00232AD1" w:rsidRPr="00232AD1" w:rsidRDefault="00EB4922" w:rsidP="00C224C5">
      <w:pPr>
        <w:pStyle w:val="ListParagraph"/>
        <w:numPr>
          <w:ilvl w:val="0"/>
          <w:numId w:val="4"/>
        </w:numPr>
        <w:spacing w:after="0"/>
        <w:jc w:val="both"/>
        <w:rPr>
          <w:rFonts w:eastAsia="SimSun" w:cs="Arial"/>
          <w:color w:val="FF0000"/>
          <w:lang w:val="el-GR" w:eastAsia="zh-CN"/>
        </w:rPr>
      </w:pPr>
      <w:r w:rsidRPr="002D4C8D">
        <w:rPr>
          <w:rFonts w:cs="Arial"/>
          <w:u w:val="single"/>
          <w:lang w:val="el-GR"/>
        </w:rPr>
        <w:t>Άρθρο 41</w:t>
      </w:r>
      <w:r w:rsidR="00700121">
        <w:rPr>
          <w:rFonts w:cs="Arial"/>
          <w:u w:val="single"/>
          <w:lang w:val="el-GR"/>
        </w:rPr>
        <w:t>(1)</w:t>
      </w:r>
      <w:r w:rsidR="00232AD1">
        <w:rPr>
          <w:rFonts w:cs="Arial"/>
          <w:u w:val="single"/>
          <w:lang w:val="el-GR"/>
        </w:rPr>
        <w:t xml:space="preserve"> και </w:t>
      </w:r>
      <w:r w:rsidR="00516995">
        <w:rPr>
          <w:rFonts w:cs="Arial"/>
          <w:u w:val="single"/>
          <w:lang w:val="el-GR"/>
        </w:rPr>
        <w:t>Άρθρο 41</w:t>
      </w:r>
      <w:r w:rsidR="00232AD1">
        <w:rPr>
          <w:rFonts w:cs="Arial"/>
          <w:u w:val="single"/>
          <w:lang w:val="el-GR"/>
        </w:rPr>
        <w:t>(2)(β):</w:t>
      </w:r>
      <w:r w:rsidR="00232AD1" w:rsidRPr="00232AD1">
        <w:rPr>
          <w:rFonts w:cs="Arial"/>
          <w:lang w:val="el-GR"/>
        </w:rPr>
        <w:t xml:space="preserve"> </w:t>
      </w:r>
      <w:r w:rsidR="00232AD1">
        <w:rPr>
          <w:rFonts w:cs="Arial"/>
          <w:lang w:val="el-GR"/>
        </w:rPr>
        <w:t>προτείνεται η τροποποίησή του</w:t>
      </w:r>
      <w:r w:rsidR="00516995">
        <w:rPr>
          <w:rFonts w:cs="Arial"/>
          <w:lang w:val="el-GR"/>
        </w:rPr>
        <w:t>ς</w:t>
      </w:r>
      <w:r w:rsidR="00232AD1">
        <w:rPr>
          <w:rFonts w:cs="Arial"/>
          <w:lang w:val="el-GR"/>
        </w:rPr>
        <w:t>,</w:t>
      </w:r>
      <w:r w:rsidR="00232AD1" w:rsidRPr="00110570">
        <w:rPr>
          <w:rFonts w:cs="Arial"/>
          <w:lang w:val="el-GR"/>
        </w:rPr>
        <w:t xml:space="preserve"> </w:t>
      </w:r>
      <w:r w:rsidR="00232AD1">
        <w:rPr>
          <w:rFonts w:cs="Arial"/>
          <w:lang w:val="el-GR"/>
        </w:rPr>
        <w:t xml:space="preserve">αναφορικά με το </w:t>
      </w:r>
      <w:r w:rsidR="00232AD1" w:rsidRPr="002D6AA3">
        <w:rPr>
          <w:rFonts w:eastAsia="SimSun" w:cs="Arial"/>
          <w:lang w:val="el-GR" w:eastAsia="zh-CN"/>
        </w:rPr>
        <w:t>φάκελο της υπόθεσης και το</w:t>
      </w:r>
      <w:r w:rsidR="00232AD1">
        <w:rPr>
          <w:rFonts w:eastAsia="SimSun" w:cs="Arial"/>
          <w:lang w:val="el-GR" w:eastAsia="zh-CN"/>
        </w:rPr>
        <w:t>ν</w:t>
      </w:r>
      <w:r w:rsidR="00232AD1" w:rsidRPr="002D6AA3">
        <w:rPr>
          <w:rFonts w:eastAsia="SimSun" w:cs="Arial"/>
          <w:lang w:val="el-GR" w:eastAsia="zh-CN"/>
        </w:rPr>
        <w:t xml:space="preserve"> χαρακτηρισμό επιχειρηματικών απορρήτων και πληροφοριών εμπιστευτικής φύσης</w:t>
      </w:r>
      <w:r w:rsidR="00232AD1">
        <w:rPr>
          <w:rFonts w:eastAsia="SimSun" w:cs="Arial"/>
          <w:lang w:val="el-GR" w:eastAsia="zh-CN"/>
        </w:rPr>
        <w:t>,</w:t>
      </w:r>
      <w:r w:rsidR="00232AD1" w:rsidRPr="002D4C8D">
        <w:rPr>
          <w:rFonts w:cs="Arial"/>
          <w:lang w:val="el-GR"/>
        </w:rPr>
        <w:t xml:space="preserve"> </w:t>
      </w:r>
      <w:r w:rsidR="00232AD1" w:rsidRPr="00110570">
        <w:rPr>
          <w:rFonts w:cs="Arial"/>
          <w:lang w:val="el-GR"/>
        </w:rPr>
        <w:t xml:space="preserve">ώστε να καλύπτονται και οι έρευνες δυνάμει του άρθρου 26(3) </w:t>
      </w:r>
      <w:r w:rsidR="00232AD1">
        <w:rPr>
          <w:rFonts w:cs="Arial"/>
          <w:lang w:val="el-GR"/>
        </w:rPr>
        <w:t>του βασικού νόμου.</w:t>
      </w:r>
    </w:p>
    <w:p w14:paraId="060BC95C" w14:textId="19CE70EB" w:rsidR="00232AD1" w:rsidRPr="00232AD1" w:rsidRDefault="00700121" w:rsidP="00C224C5">
      <w:pPr>
        <w:pStyle w:val="ListParagraph"/>
        <w:numPr>
          <w:ilvl w:val="0"/>
          <w:numId w:val="4"/>
        </w:numPr>
        <w:spacing w:after="0"/>
        <w:jc w:val="both"/>
        <w:rPr>
          <w:rFonts w:eastAsia="SimSun" w:cs="Arial"/>
          <w:color w:val="FF0000"/>
          <w:lang w:val="el-GR" w:eastAsia="zh-CN"/>
        </w:rPr>
      </w:pPr>
      <w:r>
        <w:rPr>
          <w:rFonts w:cs="Arial"/>
          <w:u w:val="single"/>
          <w:lang w:val="el-GR"/>
        </w:rPr>
        <w:t>Άρθρο 41(3)</w:t>
      </w:r>
      <w:r w:rsidR="00EB4922" w:rsidRPr="00C75A8B">
        <w:rPr>
          <w:rFonts w:cs="Arial"/>
          <w:lang w:val="el-GR"/>
        </w:rPr>
        <w:t xml:space="preserve">: </w:t>
      </w:r>
      <w:r w:rsidR="00232AD1">
        <w:rPr>
          <w:rFonts w:cs="Arial"/>
          <w:lang w:val="el-GR"/>
        </w:rPr>
        <w:t xml:space="preserve">προτείνεται η αντικατάστασή του ώστε </w:t>
      </w:r>
      <w:r w:rsidR="002D4C8D">
        <w:rPr>
          <w:rFonts w:cs="Arial"/>
          <w:lang w:val="el-GR"/>
        </w:rPr>
        <w:t>να</w:t>
      </w:r>
      <w:r w:rsidR="002D4C8D" w:rsidRPr="002D4C8D">
        <w:rPr>
          <w:rFonts w:cs="Arial"/>
          <w:lang w:val="el-GR"/>
        </w:rPr>
        <w:t xml:space="preserve"> διασαφηνίζεται ότι οι πληροφορίες, τα έγγραφα και τα μέρη των εγγράφων, για τα οποία δεν υποβλήθηκε αιτιολογημένη δήλωση χαρακτηρισμού τους ως επιχειρηματικά απόρρητα και/ή πληροφορίες </w:t>
      </w:r>
      <w:r w:rsidR="002D4C8D" w:rsidRPr="002D4C8D">
        <w:rPr>
          <w:rFonts w:cs="Arial"/>
          <w:lang w:val="el-GR"/>
        </w:rPr>
        <w:lastRenderedPageBreak/>
        <w:t>εμπιστευτικής φύσεως και δεν προσκομίστηκε ξεχωριστή μη εμπιστευτική εκδοχή αυτών, σύμφωνα με την ανακοίνωση της Επιτροπής, δεν θεωρούνται επιχειρηματικά απόρρητα ή/και πληροφορίες εμπιστευτικής φύσεως και τεκμαίρεται ότι το πρόσωπο που τα υποβάλλει δεν έχει αντίρρηση στην αποκάλυψ</w:t>
      </w:r>
      <w:r w:rsidR="00516995">
        <w:rPr>
          <w:rFonts w:cs="Arial"/>
          <w:lang w:val="el-GR"/>
        </w:rPr>
        <w:t>ή</w:t>
      </w:r>
      <w:r w:rsidR="002D4C8D" w:rsidRPr="002D4C8D">
        <w:rPr>
          <w:rFonts w:cs="Arial"/>
          <w:lang w:val="el-GR"/>
        </w:rPr>
        <w:t xml:space="preserve"> τους, εκτός σε περίπτωση που η Επιτροπή αποφασίσει διαφορετικά</w:t>
      </w:r>
      <w:r w:rsidR="002D4C8D">
        <w:rPr>
          <w:rFonts w:cs="Arial"/>
          <w:lang w:val="el-GR"/>
        </w:rPr>
        <w:t>.</w:t>
      </w:r>
    </w:p>
    <w:p w14:paraId="6D3B002E" w14:textId="713B823E" w:rsidR="00C75A8B" w:rsidRDefault="00C75A8B" w:rsidP="00C75A8B">
      <w:pPr>
        <w:pStyle w:val="ListParagraph"/>
        <w:numPr>
          <w:ilvl w:val="0"/>
          <w:numId w:val="4"/>
        </w:numPr>
        <w:spacing w:after="0"/>
        <w:jc w:val="both"/>
        <w:rPr>
          <w:rFonts w:eastAsia="SimSun" w:cs="Arial"/>
          <w:lang w:val="el-GR" w:eastAsia="zh-CN"/>
        </w:rPr>
      </w:pPr>
      <w:r w:rsidRPr="00C75A8B">
        <w:rPr>
          <w:rFonts w:eastAsia="SimSun" w:cs="Arial"/>
          <w:u w:val="single"/>
          <w:lang w:val="el-GR" w:eastAsia="zh-CN"/>
        </w:rPr>
        <w:t>Άρθρο 46</w:t>
      </w:r>
      <w:r w:rsidR="00232AD1">
        <w:rPr>
          <w:rFonts w:eastAsia="SimSun" w:cs="Arial"/>
          <w:u w:val="single"/>
          <w:lang w:val="el-GR" w:eastAsia="zh-CN"/>
        </w:rPr>
        <w:t>(2)</w:t>
      </w:r>
      <w:r w:rsidRPr="00C75A8B">
        <w:rPr>
          <w:rFonts w:eastAsia="SimSun" w:cs="Arial"/>
          <w:u w:val="single"/>
          <w:lang w:val="el-GR" w:eastAsia="zh-CN"/>
        </w:rPr>
        <w:t>:</w:t>
      </w:r>
      <w:r w:rsidRPr="00A30622">
        <w:rPr>
          <w:rFonts w:eastAsia="SimSun" w:cs="Arial"/>
          <w:lang w:val="el-GR" w:eastAsia="zh-CN"/>
        </w:rPr>
        <w:t xml:space="preserve"> </w:t>
      </w:r>
      <w:r w:rsidRPr="00C75A8B">
        <w:rPr>
          <w:rFonts w:eastAsia="SimSun" w:cs="Arial"/>
          <w:lang w:val="el-GR" w:eastAsia="zh-CN"/>
        </w:rPr>
        <w:t>προτείνεται η αντικατάστασ</w:t>
      </w:r>
      <w:r w:rsidR="00232AD1">
        <w:rPr>
          <w:rFonts w:eastAsia="SimSun" w:cs="Arial"/>
          <w:lang w:val="el-GR" w:eastAsia="zh-CN"/>
        </w:rPr>
        <w:t xml:space="preserve">ή </w:t>
      </w:r>
      <w:r w:rsidRPr="00C75A8B">
        <w:rPr>
          <w:rFonts w:eastAsia="SimSun" w:cs="Arial"/>
          <w:lang w:val="el-GR" w:eastAsia="zh-CN"/>
        </w:rPr>
        <w:t>του ώστε κάθε πρόσωπο να δύναται να γνωστοποιεί ανώνυμα πληροφορίες σχετικά με οποιαδήποτε πρακτική ή συμπεριφορά που εμπίπτει στις αρμοδιότητες της Επιτροπής, για ενδεχόμενες παραβάσεις των άρθρων 101 και 102 ΣΛΕΕ και του Ευρωπαϊκού Κανονισμού (ΕΕ) 2022/1925.</w:t>
      </w:r>
    </w:p>
    <w:p w14:paraId="2531E851" w14:textId="07A074C1" w:rsidR="00C75A8B" w:rsidRDefault="00C75A8B" w:rsidP="00C75A8B">
      <w:pPr>
        <w:pStyle w:val="ListParagraph"/>
        <w:numPr>
          <w:ilvl w:val="0"/>
          <w:numId w:val="4"/>
        </w:numPr>
        <w:spacing w:after="0"/>
        <w:jc w:val="both"/>
        <w:rPr>
          <w:rFonts w:eastAsia="SimSun" w:cs="Arial"/>
          <w:lang w:val="el-GR" w:eastAsia="zh-CN"/>
        </w:rPr>
      </w:pPr>
      <w:r w:rsidRPr="00C75A8B">
        <w:rPr>
          <w:rFonts w:eastAsia="SimSun" w:cs="Arial"/>
          <w:u w:val="single"/>
          <w:lang w:val="el-GR" w:eastAsia="zh-CN"/>
        </w:rPr>
        <w:t>Άρθρο 47</w:t>
      </w:r>
      <w:r w:rsidRPr="00C75A8B">
        <w:rPr>
          <w:rFonts w:eastAsia="SimSun" w:cs="Arial"/>
          <w:lang w:val="el-GR" w:eastAsia="zh-CN"/>
        </w:rPr>
        <w:t>: προτείνεται η τροποποίησ</w:t>
      </w:r>
      <w:r w:rsidR="00516995">
        <w:rPr>
          <w:rFonts w:eastAsia="SimSun" w:cs="Arial"/>
          <w:lang w:val="el-GR" w:eastAsia="zh-CN"/>
        </w:rPr>
        <w:t>ή</w:t>
      </w:r>
      <w:r w:rsidRPr="00C75A8B">
        <w:rPr>
          <w:rFonts w:eastAsia="SimSun" w:cs="Arial"/>
          <w:lang w:val="el-GR" w:eastAsia="zh-CN"/>
        </w:rPr>
        <w:t xml:space="preserve"> του ώστε η παράλειψη συμμόρφωσης εντός ταχθείσας προθεσμίας να επιφέρει μέγιστον ύψος προστίμου το 1%</w:t>
      </w:r>
      <w:r w:rsidR="00643E61">
        <w:rPr>
          <w:rFonts w:eastAsia="SimSun" w:cs="Arial"/>
          <w:lang w:val="el-GR" w:eastAsia="zh-CN"/>
        </w:rPr>
        <w:t>,</w:t>
      </w:r>
      <w:r w:rsidRPr="00C75A8B">
        <w:rPr>
          <w:rFonts w:eastAsia="SimSun" w:cs="Arial"/>
          <w:lang w:val="el-GR" w:eastAsia="zh-CN"/>
        </w:rPr>
        <w:t xml:space="preserve"> ως ίσχυε με το Νόμο </w:t>
      </w:r>
      <w:r w:rsidR="00110570">
        <w:rPr>
          <w:rFonts w:eastAsia="SimSun" w:cs="Arial"/>
          <w:lang w:val="el-GR" w:eastAsia="zh-CN"/>
        </w:rPr>
        <w:t xml:space="preserve">αρ. </w:t>
      </w:r>
      <w:r w:rsidRPr="00C75A8B">
        <w:rPr>
          <w:rFonts w:eastAsia="SimSun" w:cs="Arial"/>
          <w:lang w:val="el-GR" w:eastAsia="zh-CN"/>
        </w:rPr>
        <w:t xml:space="preserve">13(Ι)/2008, ως είχε τροποποιηθεί. </w:t>
      </w:r>
      <w:r w:rsidR="008A6FF7">
        <w:rPr>
          <w:rFonts w:eastAsia="SimSun" w:cs="Arial"/>
          <w:lang w:val="el-GR" w:eastAsia="zh-CN"/>
        </w:rPr>
        <w:t>Το π</w:t>
      </w:r>
      <w:r w:rsidRPr="00C75A8B">
        <w:rPr>
          <w:rFonts w:eastAsia="SimSun" w:cs="Arial"/>
          <w:lang w:val="el-GR" w:eastAsia="zh-CN"/>
        </w:rPr>
        <w:t xml:space="preserve">ρόστιμο μέγιστου ύψους 10% κρίνεται πως είναι δυσανάλογο ως προς το συγκεκριμένο είδος της παράβασης που αφορά παράλειψη παροχής αιτούμενων πληροφοριών εντός της ταχθείσας προθεσμίας. </w:t>
      </w:r>
    </w:p>
    <w:p w14:paraId="422F9E41" w14:textId="50049B74" w:rsidR="00CB4211" w:rsidRPr="007F5468" w:rsidRDefault="00BA0128" w:rsidP="007F5468">
      <w:pPr>
        <w:pStyle w:val="ListParagraph"/>
        <w:spacing w:after="0"/>
        <w:ind w:left="360"/>
        <w:jc w:val="both"/>
        <w:rPr>
          <w:rFonts w:eastAsia="SimSun" w:cs="Arial"/>
          <w:lang w:val="el-GR" w:eastAsia="zh-CN"/>
        </w:rPr>
      </w:pPr>
      <w:r w:rsidRPr="007F5468">
        <w:rPr>
          <w:rFonts w:eastAsia="SimSun" w:cs="Arial"/>
          <w:lang w:val="el-GR" w:eastAsia="zh-CN"/>
        </w:rPr>
        <w:t xml:space="preserve">Επιπλέον, </w:t>
      </w:r>
      <w:r w:rsidR="00CB4211" w:rsidRPr="007F5468">
        <w:rPr>
          <w:rFonts w:eastAsia="SimSun" w:cs="Arial"/>
          <w:lang w:val="el-GR" w:eastAsia="zh-CN"/>
        </w:rPr>
        <w:t xml:space="preserve">προτείνεται η προσθήκη προνοιών ώστε να δίνεται η δυνατότητα στο Διοικητικό Δικαστήριο να τροποποιεί εν όλω ή εν μέρει την απόφαση της Επιτροπής αναφορικά με την επιβολή διοικητικού προστίμου, βάσει του άρθρου 146 του Συντάγματος. </w:t>
      </w:r>
    </w:p>
    <w:p w14:paraId="1D634D0B" w14:textId="5BCE44D6" w:rsidR="00F566A0" w:rsidRPr="00C75A8B" w:rsidRDefault="00F566A0" w:rsidP="00C75A8B">
      <w:pPr>
        <w:pStyle w:val="ListParagraph"/>
        <w:numPr>
          <w:ilvl w:val="0"/>
          <w:numId w:val="4"/>
        </w:numPr>
        <w:spacing w:after="0"/>
        <w:jc w:val="both"/>
        <w:rPr>
          <w:rFonts w:eastAsia="SimSun" w:cs="Arial"/>
          <w:lang w:val="el-GR" w:eastAsia="zh-CN"/>
        </w:rPr>
      </w:pPr>
      <w:r>
        <w:rPr>
          <w:rFonts w:eastAsia="SimSun" w:cs="Arial"/>
          <w:u w:val="single"/>
          <w:lang w:val="el-GR" w:eastAsia="zh-CN"/>
        </w:rPr>
        <w:t>Άρθρο 49</w:t>
      </w:r>
      <w:r w:rsidRPr="007F5468">
        <w:rPr>
          <w:rFonts w:eastAsia="SimSun" w:cs="Arial"/>
          <w:u w:val="single"/>
          <w:lang w:val="el-GR" w:eastAsia="zh-CN"/>
        </w:rPr>
        <w:t>(3):</w:t>
      </w:r>
      <w:r>
        <w:rPr>
          <w:rFonts w:eastAsia="SimSun" w:cs="Arial"/>
          <w:u w:val="single"/>
          <w:lang w:val="el-GR" w:eastAsia="zh-CN"/>
        </w:rPr>
        <w:t xml:space="preserve"> </w:t>
      </w:r>
      <w:r w:rsidR="00CB4211">
        <w:rPr>
          <w:rFonts w:eastAsia="SimSun" w:cs="Arial"/>
          <w:lang w:val="el-GR" w:eastAsia="zh-CN"/>
        </w:rPr>
        <w:t xml:space="preserve">προτείνεται η τροποποίηση του καθώς και η προσθήκη και άλλων ενδεικτικών πράξεων της Επιτροπής που επιφέρουν διακοπή της προθεσμίας επιβολής διοικητικών προστίμων από την Επιτροπή. </w:t>
      </w:r>
    </w:p>
    <w:bookmarkEnd w:id="0"/>
    <w:p w14:paraId="4AD2940D" w14:textId="25FFC868" w:rsidR="00FC05AF" w:rsidRDefault="00FC05AF" w:rsidP="0005399E">
      <w:pPr>
        <w:spacing w:after="0"/>
        <w:rPr>
          <w:rFonts w:cs="Arial"/>
          <w:b/>
          <w:u w:val="single"/>
          <w:lang w:val="el-GR"/>
        </w:rPr>
      </w:pPr>
    </w:p>
    <w:p w14:paraId="5E468BD6" w14:textId="697F0208" w:rsidR="00C52BFC" w:rsidRDefault="00C52BFC" w:rsidP="0005399E">
      <w:pPr>
        <w:pStyle w:val="ListParagraph"/>
        <w:numPr>
          <w:ilvl w:val="0"/>
          <w:numId w:val="2"/>
        </w:numPr>
        <w:spacing w:after="0"/>
        <w:ind w:left="284" w:hanging="284"/>
        <w:rPr>
          <w:rFonts w:cs="Arial"/>
          <w:b/>
          <w:u w:val="single"/>
          <w:lang w:val="el-GR"/>
        </w:rPr>
      </w:pPr>
      <w:r w:rsidRPr="0005399E">
        <w:rPr>
          <w:rFonts w:cs="Arial"/>
          <w:b/>
          <w:u w:val="single"/>
          <w:lang w:val="el-GR"/>
        </w:rPr>
        <w:t xml:space="preserve">Συμμετοχή φορέων </w:t>
      </w:r>
    </w:p>
    <w:p w14:paraId="487DEAB6" w14:textId="77777777" w:rsidR="003D1587" w:rsidRPr="0005399E" w:rsidRDefault="003D1587" w:rsidP="003D1587">
      <w:pPr>
        <w:pStyle w:val="ListParagraph"/>
        <w:spacing w:after="0"/>
        <w:ind w:left="284"/>
        <w:rPr>
          <w:rFonts w:cs="Arial"/>
          <w:b/>
          <w:u w:val="single"/>
          <w:lang w:val="el-GR"/>
        </w:rPr>
      </w:pPr>
    </w:p>
    <w:p w14:paraId="536F6CAE" w14:textId="25EF16F5" w:rsidR="00134175" w:rsidRDefault="00134175" w:rsidP="00FC05AF">
      <w:pPr>
        <w:spacing w:after="0"/>
        <w:jc w:val="both"/>
        <w:rPr>
          <w:rFonts w:cs="Arial"/>
          <w:lang w:val="el-GR"/>
        </w:rPr>
      </w:pPr>
      <w:r w:rsidRPr="0005399E">
        <w:rPr>
          <w:rFonts w:cs="Arial"/>
          <w:lang w:val="el-GR"/>
        </w:rPr>
        <w:t>Οι ενδιαφερόμενοι φορείς προσκαλούνται να λάβουν μέρος στη δημόσια διαβούλευση αφενός για να ενημερωθούν για τις πρόνοιες του υπό εξέταση νομοθετήματος και αφετέρου για να εκφράσουν τις απόψεις και τις εισηγήσεις τους.</w:t>
      </w:r>
    </w:p>
    <w:p w14:paraId="6050713F" w14:textId="77777777" w:rsidR="00FC05AF" w:rsidRPr="0005399E" w:rsidRDefault="00FC05AF" w:rsidP="00FC05AF">
      <w:pPr>
        <w:spacing w:after="0"/>
        <w:jc w:val="both"/>
        <w:rPr>
          <w:rFonts w:cs="Arial"/>
          <w:lang w:val="el-GR"/>
        </w:rPr>
      </w:pPr>
    </w:p>
    <w:p w14:paraId="74A9242D" w14:textId="53A91E51" w:rsidR="00134175" w:rsidRPr="0005399E" w:rsidRDefault="00134175" w:rsidP="00FC05AF">
      <w:pPr>
        <w:spacing w:after="0"/>
        <w:jc w:val="both"/>
        <w:rPr>
          <w:rFonts w:cs="Arial"/>
          <w:lang w:val="el-GR"/>
        </w:rPr>
      </w:pPr>
      <w:r w:rsidRPr="0005399E">
        <w:rPr>
          <w:rFonts w:cs="Arial"/>
          <w:lang w:val="el-GR"/>
        </w:rPr>
        <w:t xml:space="preserve">Θα γίνονται δεκτές μόνο γραπτές απόψεις και εισηγήσεις που θα </w:t>
      </w:r>
      <w:r w:rsidR="008402A5">
        <w:rPr>
          <w:rFonts w:cs="Arial"/>
          <w:lang w:val="el-GR"/>
        </w:rPr>
        <w:t>καταχωρούνται στ</w:t>
      </w:r>
      <w:r w:rsidR="00676FB6">
        <w:rPr>
          <w:rFonts w:cs="Arial"/>
          <w:lang w:val="el-GR"/>
        </w:rPr>
        <w:t xml:space="preserve">ην ιστοσελίδα </w:t>
      </w:r>
      <w:r w:rsidR="00676FB6" w:rsidRPr="00676FB6">
        <w:rPr>
          <w:rFonts w:cs="Arial"/>
          <w:lang w:val="el-GR"/>
        </w:rPr>
        <w:t>https://e-consultation.gov.cy/</w:t>
      </w:r>
      <w:r w:rsidRPr="0005399E">
        <w:rPr>
          <w:rFonts w:cs="Arial"/>
          <w:lang w:val="el-GR"/>
        </w:rPr>
        <w:t xml:space="preserve"> μέχρι </w:t>
      </w:r>
      <w:r w:rsidRPr="00FC05AF">
        <w:rPr>
          <w:rFonts w:cs="Arial"/>
          <w:b/>
          <w:u w:val="single"/>
          <w:lang w:val="el-GR"/>
        </w:rPr>
        <w:t xml:space="preserve">τις </w:t>
      </w:r>
      <w:r w:rsidR="00621BC8" w:rsidRPr="00ED505C">
        <w:rPr>
          <w:rFonts w:cs="Arial"/>
          <w:b/>
          <w:u w:val="single"/>
          <w:lang w:val="el-GR"/>
        </w:rPr>
        <w:t>2/5/2024</w:t>
      </w:r>
      <w:r w:rsidRPr="0005399E">
        <w:rPr>
          <w:rFonts w:cs="Arial"/>
          <w:lang w:val="el-GR"/>
        </w:rPr>
        <w:t xml:space="preserve">. </w:t>
      </w:r>
    </w:p>
    <w:p w14:paraId="15C15D10" w14:textId="77777777" w:rsidR="00C75A8B" w:rsidRPr="0005399E" w:rsidRDefault="00C75A8B" w:rsidP="0005399E">
      <w:pPr>
        <w:spacing w:after="0"/>
        <w:rPr>
          <w:rFonts w:cs="Arial"/>
          <w:lang w:val="el-GR"/>
        </w:rPr>
      </w:pPr>
    </w:p>
    <w:p w14:paraId="0D82C838" w14:textId="3BCB0944" w:rsidR="00134175" w:rsidRDefault="00134175" w:rsidP="0005399E">
      <w:pPr>
        <w:pStyle w:val="ListParagraph"/>
        <w:numPr>
          <w:ilvl w:val="0"/>
          <w:numId w:val="2"/>
        </w:numPr>
        <w:spacing w:after="0"/>
        <w:ind w:left="284" w:hanging="284"/>
        <w:rPr>
          <w:rFonts w:cs="Arial"/>
          <w:b/>
          <w:u w:val="single"/>
          <w:lang w:val="el-GR"/>
        </w:rPr>
      </w:pPr>
      <w:r w:rsidRPr="0005399E">
        <w:rPr>
          <w:rFonts w:cs="Arial"/>
          <w:b/>
          <w:u w:val="single"/>
          <w:lang w:val="el-GR"/>
        </w:rPr>
        <w:t>Συνοδευτικά έγγραφα</w:t>
      </w:r>
    </w:p>
    <w:p w14:paraId="772F37DD" w14:textId="77777777" w:rsidR="003D1587" w:rsidRPr="0005399E" w:rsidRDefault="003D1587" w:rsidP="003D1587">
      <w:pPr>
        <w:pStyle w:val="ListParagraph"/>
        <w:spacing w:after="0"/>
        <w:ind w:left="284"/>
        <w:rPr>
          <w:rFonts w:cs="Arial"/>
          <w:b/>
          <w:u w:val="single"/>
          <w:lang w:val="el-GR"/>
        </w:rPr>
      </w:pPr>
    </w:p>
    <w:p w14:paraId="6D47D552" w14:textId="6CA105B9" w:rsidR="00A82B3C" w:rsidRPr="00295CD3" w:rsidRDefault="00134175" w:rsidP="0005399E">
      <w:pPr>
        <w:spacing w:after="0"/>
        <w:jc w:val="both"/>
        <w:rPr>
          <w:rFonts w:cs="Arial"/>
          <w:lang w:val="el-GR"/>
        </w:rPr>
      </w:pPr>
      <w:r w:rsidRPr="00295CD3">
        <w:rPr>
          <w:rFonts w:cs="Arial"/>
          <w:lang w:val="el-GR"/>
        </w:rPr>
        <w:t xml:space="preserve">Το παρόν επεξηγηματικό σημείωμα συνοδεύεται από: </w:t>
      </w:r>
    </w:p>
    <w:p w14:paraId="77CFA7D7" w14:textId="2D13F44F" w:rsidR="00A82B3C" w:rsidRPr="00295CD3" w:rsidRDefault="00134175" w:rsidP="00943C6E">
      <w:pPr>
        <w:pStyle w:val="ListParagraph"/>
        <w:numPr>
          <w:ilvl w:val="0"/>
          <w:numId w:val="3"/>
        </w:numPr>
        <w:spacing w:after="0"/>
        <w:jc w:val="both"/>
        <w:rPr>
          <w:rFonts w:cs="Arial"/>
          <w:lang w:val="el-GR"/>
        </w:rPr>
      </w:pPr>
      <w:r w:rsidRPr="00295CD3">
        <w:rPr>
          <w:rFonts w:cs="Arial"/>
          <w:lang w:val="el-GR"/>
        </w:rPr>
        <w:t xml:space="preserve">την πρόταση υποβολής νομοσχεδίου που τιτλοφορείται </w:t>
      </w:r>
      <w:r w:rsidR="00FC05AF" w:rsidRPr="00295CD3">
        <w:rPr>
          <w:rFonts w:cs="Arial"/>
          <w:lang w:val="el-GR"/>
        </w:rPr>
        <w:t>«ο περί της Προστασίας του Ανταγωνισμού (Τροποποιητικός) Νόμος του 202</w:t>
      </w:r>
      <w:r w:rsidR="008402A5" w:rsidRPr="00295CD3">
        <w:rPr>
          <w:rFonts w:cs="Arial"/>
          <w:lang w:val="el-GR"/>
        </w:rPr>
        <w:t>4</w:t>
      </w:r>
      <w:r w:rsidR="00FC05AF" w:rsidRPr="00295CD3">
        <w:rPr>
          <w:rFonts w:cs="Arial"/>
          <w:lang w:val="el-GR"/>
        </w:rPr>
        <w:t>»</w:t>
      </w:r>
      <w:r w:rsidR="00FC05AF" w:rsidRPr="00295CD3">
        <w:rPr>
          <w:rFonts w:cs="Arial"/>
          <w:i/>
          <w:lang w:val="el-GR"/>
        </w:rPr>
        <w:t xml:space="preserve"> </w:t>
      </w:r>
      <w:r w:rsidRPr="00295CD3">
        <w:rPr>
          <w:rFonts w:cs="Arial"/>
          <w:lang w:val="el-GR"/>
        </w:rPr>
        <w:t xml:space="preserve">προς </w:t>
      </w:r>
      <w:r w:rsidR="00A82B3C" w:rsidRPr="00295CD3">
        <w:rPr>
          <w:rFonts w:cs="Arial"/>
          <w:lang w:val="el-GR"/>
        </w:rPr>
        <w:t>τροποποίηση</w:t>
      </w:r>
      <w:r w:rsidRPr="00295CD3">
        <w:rPr>
          <w:rFonts w:cs="Arial"/>
          <w:lang w:val="el-GR"/>
        </w:rPr>
        <w:t xml:space="preserve"> </w:t>
      </w:r>
      <w:r w:rsidR="00FC05AF" w:rsidRPr="00295CD3">
        <w:rPr>
          <w:rFonts w:cs="Arial"/>
          <w:lang w:val="el-GR"/>
        </w:rPr>
        <w:t>το</w:t>
      </w:r>
      <w:r w:rsidR="007F5468" w:rsidRPr="00295CD3">
        <w:rPr>
          <w:rFonts w:cs="Arial"/>
          <w:lang w:val="el-GR"/>
        </w:rPr>
        <w:t>υ</w:t>
      </w:r>
      <w:r w:rsidR="00FC05AF" w:rsidRPr="00295CD3">
        <w:rPr>
          <w:rFonts w:cs="Arial"/>
          <w:lang w:val="el-GR"/>
        </w:rPr>
        <w:t xml:space="preserve"> περί της </w:t>
      </w:r>
      <w:r w:rsidR="00FC05AF" w:rsidRPr="00295CD3">
        <w:rPr>
          <w:rFonts w:cs="Arial"/>
          <w:lang w:val="el-GR"/>
        </w:rPr>
        <w:lastRenderedPageBreak/>
        <w:t>Προστασίας του Ανταγωνισμού Νόμο αρ. 13(Ι)/2022, ο οποίος έχει τροποποιηθεί με τον Νόμο αρ. 169(Ι)/2022</w:t>
      </w:r>
      <w:r w:rsidR="0003294F" w:rsidRPr="00295CD3">
        <w:rPr>
          <w:rFonts w:cs="Arial"/>
          <w:lang w:val="el-GR"/>
        </w:rPr>
        <w:t>,</w:t>
      </w:r>
      <w:r w:rsidR="00295CD3" w:rsidRPr="00295CD3">
        <w:rPr>
          <w:rFonts w:cs="Arial"/>
          <w:lang w:val="el-GR"/>
        </w:rPr>
        <w:t xml:space="preserve"> (όπως παρουσιάζεται στην πλατφόρμα)</w:t>
      </w:r>
    </w:p>
    <w:p w14:paraId="33E27D46" w14:textId="0E557CB4" w:rsidR="00FC05AF" w:rsidRPr="00295CD3" w:rsidRDefault="00FC05AF" w:rsidP="00943C6E">
      <w:pPr>
        <w:pStyle w:val="ListParagraph"/>
        <w:numPr>
          <w:ilvl w:val="0"/>
          <w:numId w:val="3"/>
        </w:numPr>
        <w:spacing w:after="0"/>
        <w:jc w:val="both"/>
        <w:rPr>
          <w:rFonts w:cs="Arial"/>
        </w:rPr>
      </w:pPr>
      <w:r w:rsidRPr="00295CD3">
        <w:rPr>
          <w:rFonts w:cs="Arial"/>
          <w:lang w:val="el-GR"/>
        </w:rPr>
        <w:t xml:space="preserve">τον Ευρωπαϊκό Κανονισμό (ΕΕ) 2022/1925, </w:t>
      </w:r>
    </w:p>
    <w:p w14:paraId="319BAE5E" w14:textId="77777777" w:rsidR="00CB4211" w:rsidRPr="00F02ABD" w:rsidRDefault="00A55ACE" w:rsidP="00643E61">
      <w:pPr>
        <w:pStyle w:val="ListParagraph"/>
        <w:numPr>
          <w:ilvl w:val="0"/>
          <w:numId w:val="3"/>
        </w:numPr>
        <w:spacing w:after="0"/>
        <w:jc w:val="both"/>
        <w:rPr>
          <w:rFonts w:cs="Arial"/>
          <w:lang w:val="el-GR"/>
        </w:rPr>
      </w:pPr>
      <w:r w:rsidRPr="00295CD3">
        <w:rPr>
          <w:rFonts w:cs="Arial"/>
          <w:lang w:val="el-GR"/>
        </w:rPr>
        <w:t>τον περί της Προστασίας Προσώπων που Αναφέρουν Παραβάσεις του Ενωσιακού και</w:t>
      </w:r>
      <w:r w:rsidRPr="0005399E">
        <w:rPr>
          <w:rFonts w:cs="Arial"/>
          <w:lang w:val="el-GR"/>
        </w:rPr>
        <w:t xml:space="preserve"> Εθνικού Δικαίου Νόμο του 2022 (6(I)/2022), </w:t>
      </w:r>
    </w:p>
    <w:p w14:paraId="09791261" w14:textId="77777777" w:rsidR="00CB4211" w:rsidRPr="00F02ABD" w:rsidRDefault="00CB4211" w:rsidP="00643E61">
      <w:pPr>
        <w:pStyle w:val="ListParagraph"/>
        <w:numPr>
          <w:ilvl w:val="0"/>
          <w:numId w:val="3"/>
        </w:numPr>
        <w:spacing w:after="0"/>
        <w:jc w:val="both"/>
        <w:rPr>
          <w:rFonts w:cs="Arial"/>
          <w:lang w:val="el-GR"/>
        </w:rPr>
      </w:pPr>
      <w:r>
        <w:rPr>
          <w:rFonts w:cs="Arial"/>
          <w:lang w:val="el-GR"/>
        </w:rPr>
        <w:t xml:space="preserve">τον περί της Δέκατης Εβδόμης Τροποποίησης του Συντάγματος Νόμο του 2022, </w:t>
      </w:r>
    </w:p>
    <w:p w14:paraId="6D60B669" w14:textId="7B92C5CD" w:rsidR="00643E61" w:rsidRPr="00F02ABD" w:rsidRDefault="006E3411" w:rsidP="00643E61">
      <w:pPr>
        <w:pStyle w:val="ListParagraph"/>
        <w:numPr>
          <w:ilvl w:val="0"/>
          <w:numId w:val="3"/>
        </w:numPr>
        <w:spacing w:after="0"/>
        <w:jc w:val="both"/>
        <w:rPr>
          <w:rFonts w:cs="Arial"/>
          <w:lang w:val="el-GR"/>
        </w:rPr>
      </w:pPr>
      <w:r>
        <w:rPr>
          <w:rFonts w:cs="Arial"/>
          <w:lang w:val="el-GR"/>
        </w:rPr>
        <w:t xml:space="preserve">τον </w:t>
      </w:r>
      <w:r w:rsidR="00CB4211">
        <w:rPr>
          <w:rFonts w:cs="Arial"/>
          <w:lang w:val="el-GR"/>
        </w:rPr>
        <w:t xml:space="preserve">περί της Απονομής της Δικαιοσύνης (Ποικίλες Διατάξεις) Νόμο του 1964 (33/1964), </w:t>
      </w:r>
    </w:p>
    <w:p w14:paraId="430D368F" w14:textId="77777777" w:rsidR="006E3411" w:rsidRPr="00F02ABD" w:rsidRDefault="00643E61" w:rsidP="00643E61">
      <w:pPr>
        <w:pStyle w:val="ListParagraph"/>
        <w:numPr>
          <w:ilvl w:val="0"/>
          <w:numId w:val="3"/>
        </w:numPr>
        <w:spacing w:after="0"/>
        <w:jc w:val="both"/>
        <w:rPr>
          <w:rFonts w:cs="Arial"/>
          <w:lang w:val="el-GR"/>
        </w:rPr>
      </w:pPr>
      <w:r w:rsidRPr="00F02ABD">
        <w:rPr>
          <w:rFonts w:cs="Arial"/>
          <w:lang w:val="el-GR"/>
        </w:rPr>
        <w:t>τον περί της Προστασίας του Ανταγωνισμού Νόμο αρ. 13(Ι)/2022,</w:t>
      </w:r>
      <w:r w:rsidR="006E3411">
        <w:rPr>
          <w:rFonts w:cs="Arial"/>
          <w:lang w:val="el-GR"/>
        </w:rPr>
        <w:t xml:space="preserve"> και </w:t>
      </w:r>
    </w:p>
    <w:p w14:paraId="6A4711E6" w14:textId="55D7EEA5" w:rsidR="00A82B3C" w:rsidRPr="00F02ABD" w:rsidRDefault="006E3411" w:rsidP="00643E61">
      <w:pPr>
        <w:pStyle w:val="ListParagraph"/>
        <w:numPr>
          <w:ilvl w:val="0"/>
          <w:numId w:val="3"/>
        </w:numPr>
        <w:spacing w:after="0"/>
        <w:jc w:val="both"/>
        <w:rPr>
          <w:rFonts w:cs="Arial"/>
          <w:lang w:val="el-GR"/>
        </w:rPr>
      </w:pPr>
      <w:r>
        <w:rPr>
          <w:rFonts w:cs="Arial"/>
          <w:lang w:val="el-GR"/>
        </w:rPr>
        <w:t xml:space="preserve">τον </w:t>
      </w:r>
      <w:r w:rsidRPr="006E3411">
        <w:rPr>
          <w:rFonts w:cs="Arial"/>
          <w:lang w:val="el-GR"/>
        </w:rPr>
        <w:t>περί της Προστασίας του Ανταγωνισμού (Τροποποιητικό) Νόμο του 2022</w:t>
      </w:r>
      <w:r w:rsidR="00643E61" w:rsidRPr="00F02ABD">
        <w:rPr>
          <w:rFonts w:cs="Arial"/>
          <w:lang w:val="el-GR"/>
        </w:rPr>
        <w:t xml:space="preserve"> Νόμο αρ. 169(Ι)/2022</w:t>
      </w:r>
      <w:r w:rsidR="00643E61">
        <w:rPr>
          <w:rFonts w:cs="Arial"/>
          <w:lang w:val="el-GR"/>
        </w:rPr>
        <w:t>.</w:t>
      </w:r>
    </w:p>
    <w:p w14:paraId="52C63ACB" w14:textId="77777777" w:rsidR="00643E61" w:rsidRPr="00F02ABD" w:rsidRDefault="00643E61" w:rsidP="00643E61">
      <w:pPr>
        <w:pStyle w:val="ListParagraph"/>
        <w:spacing w:after="0"/>
        <w:jc w:val="both"/>
        <w:rPr>
          <w:rFonts w:cs="Arial"/>
          <w:lang w:val="el-GR"/>
        </w:rPr>
      </w:pPr>
    </w:p>
    <w:p w14:paraId="43869AB7" w14:textId="57EB00DD" w:rsidR="00A82B3C" w:rsidRPr="00842BF1" w:rsidRDefault="00A82B3C" w:rsidP="0005399E">
      <w:pPr>
        <w:spacing w:after="0"/>
        <w:jc w:val="both"/>
        <w:rPr>
          <w:rFonts w:cs="Arial"/>
          <w:lang w:val="el-GR"/>
        </w:rPr>
      </w:pPr>
      <w:r w:rsidRPr="00F02ABD">
        <w:rPr>
          <w:rFonts w:cs="Arial"/>
          <w:lang w:val="el-GR"/>
        </w:rPr>
        <w:t>Το προσχέδιο του νομοσχεδίου καθώς και τα συνοδευτικά έγγραφα είναι διαθέσιμα στην ιστοσελίδα της Επιτροπής Προστασίας του Ανταγωνισμού (</w:t>
      </w:r>
      <w:hyperlink r:id="rId10" w:history="1">
        <w:r w:rsidRPr="0005399E">
          <w:rPr>
            <w:rStyle w:val="Hyperlink"/>
            <w:rFonts w:cs="Arial"/>
          </w:rPr>
          <w:t>www</w:t>
        </w:r>
        <w:r w:rsidRPr="00F02ABD">
          <w:rPr>
            <w:rStyle w:val="Hyperlink"/>
            <w:rFonts w:cs="Arial"/>
            <w:lang w:val="el-GR"/>
          </w:rPr>
          <w:t>.</w:t>
        </w:r>
        <w:r w:rsidRPr="0005399E">
          <w:rPr>
            <w:rStyle w:val="Hyperlink"/>
            <w:rFonts w:cs="Arial"/>
          </w:rPr>
          <w:t>competition</w:t>
        </w:r>
        <w:r w:rsidRPr="00F02ABD">
          <w:rPr>
            <w:rStyle w:val="Hyperlink"/>
            <w:rFonts w:cs="Arial"/>
            <w:lang w:val="el-GR"/>
          </w:rPr>
          <w:t>.</w:t>
        </w:r>
        <w:r w:rsidRPr="0005399E">
          <w:rPr>
            <w:rStyle w:val="Hyperlink"/>
            <w:rFonts w:cs="Arial"/>
          </w:rPr>
          <w:t>gov</w:t>
        </w:r>
        <w:r w:rsidRPr="00F02ABD">
          <w:rPr>
            <w:rStyle w:val="Hyperlink"/>
            <w:rFonts w:cs="Arial"/>
            <w:lang w:val="el-GR"/>
          </w:rPr>
          <w:t>.</w:t>
        </w:r>
        <w:r w:rsidRPr="0005399E">
          <w:rPr>
            <w:rStyle w:val="Hyperlink"/>
            <w:rFonts w:cs="Arial"/>
          </w:rPr>
          <w:t>cy</w:t>
        </w:r>
      </w:hyperlink>
      <w:r w:rsidRPr="00F02ABD">
        <w:rPr>
          <w:rFonts w:cs="Arial"/>
          <w:lang w:val="el-GR"/>
        </w:rPr>
        <w:t>)</w:t>
      </w:r>
      <w:r w:rsidR="007C7FF1" w:rsidRPr="00F02ABD">
        <w:rPr>
          <w:rFonts w:cs="Arial"/>
          <w:lang w:val="el-GR"/>
        </w:rPr>
        <w:t xml:space="preserve"> </w:t>
      </w:r>
      <w:r w:rsidR="007C7FF1">
        <w:rPr>
          <w:rFonts w:cs="Arial"/>
          <w:lang w:val="el-GR"/>
        </w:rPr>
        <w:t>καθώς και στην ιστοσελίδα η-Διαβούλευση (</w:t>
      </w:r>
      <w:r w:rsidR="007C7FF1" w:rsidRPr="007C7FF1">
        <w:rPr>
          <w:rFonts w:cs="Arial"/>
          <w:lang w:val="el-GR"/>
        </w:rPr>
        <w:t>e-consultation.gov.cy</w:t>
      </w:r>
      <w:r w:rsidR="007C7FF1">
        <w:rPr>
          <w:rFonts w:cs="Arial"/>
          <w:lang w:val="el-GR"/>
        </w:rPr>
        <w:t>)</w:t>
      </w:r>
      <w:r w:rsidR="00842BF1">
        <w:rPr>
          <w:rFonts w:cs="Arial"/>
          <w:lang w:val="el-GR"/>
        </w:rPr>
        <w:t>.</w:t>
      </w:r>
    </w:p>
    <w:p w14:paraId="1DEA497B" w14:textId="77777777" w:rsidR="00A82B3C" w:rsidRPr="00F02ABD" w:rsidRDefault="00A82B3C" w:rsidP="0005399E">
      <w:pPr>
        <w:spacing w:after="0"/>
        <w:ind w:left="360"/>
        <w:jc w:val="both"/>
        <w:rPr>
          <w:rFonts w:cs="Arial"/>
          <w:lang w:val="el-GR"/>
        </w:rPr>
      </w:pPr>
    </w:p>
    <w:p w14:paraId="4011B5D8" w14:textId="7F487764" w:rsidR="00A82B3C" w:rsidRPr="00643E61" w:rsidRDefault="00A82B3C" w:rsidP="0005399E">
      <w:pPr>
        <w:pStyle w:val="ListParagraph"/>
        <w:numPr>
          <w:ilvl w:val="0"/>
          <w:numId w:val="2"/>
        </w:numPr>
        <w:spacing w:after="0"/>
        <w:ind w:left="284" w:hanging="284"/>
        <w:rPr>
          <w:rFonts w:cs="Arial"/>
        </w:rPr>
      </w:pPr>
      <w:r w:rsidRPr="0005399E">
        <w:rPr>
          <w:rFonts w:cs="Arial"/>
          <w:b/>
          <w:u w:val="single"/>
          <w:lang w:val="el-GR"/>
        </w:rPr>
        <w:t>Υπεύθυνοι Λειτουργο</w:t>
      </w:r>
      <w:r w:rsidRPr="0005399E">
        <w:rPr>
          <w:rFonts w:cs="Arial"/>
          <w:b/>
          <w:u w:val="single"/>
        </w:rPr>
        <w:t xml:space="preserve">ί </w:t>
      </w:r>
    </w:p>
    <w:p w14:paraId="1A1930B7" w14:textId="77777777" w:rsidR="00643E61" w:rsidRPr="0005399E" w:rsidRDefault="00643E61" w:rsidP="00643E61">
      <w:pPr>
        <w:pStyle w:val="ListParagraph"/>
        <w:spacing w:after="0"/>
        <w:ind w:left="284"/>
        <w:rPr>
          <w:rFonts w:cs="Arial"/>
        </w:rPr>
      </w:pPr>
    </w:p>
    <w:p w14:paraId="027A0839" w14:textId="2BD56A65" w:rsidR="00A82B3C" w:rsidRDefault="00A82B3C" w:rsidP="0005399E">
      <w:pPr>
        <w:spacing w:after="0"/>
        <w:rPr>
          <w:rFonts w:cs="Arial"/>
          <w:lang w:val="el-GR"/>
        </w:rPr>
      </w:pPr>
      <w:r w:rsidRPr="00F02ABD">
        <w:rPr>
          <w:rFonts w:cs="Arial"/>
          <w:lang w:val="el-GR"/>
        </w:rPr>
        <w:t>Οι υπεύθυνοι λειτουργοί από τους οποίους οι εμπλεκόμενοι φορείς μπορούν να ζητήσουν πληροφορίες και διευκρινίσεις είναι</w:t>
      </w:r>
      <w:r w:rsidRPr="0005399E">
        <w:rPr>
          <w:rFonts w:cs="Arial"/>
          <w:lang w:val="el-GR"/>
        </w:rPr>
        <w:t>:</w:t>
      </w:r>
    </w:p>
    <w:p w14:paraId="355F8221" w14:textId="77777777" w:rsidR="00842BF1" w:rsidRPr="0005399E" w:rsidRDefault="00842BF1" w:rsidP="0005399E">
      <w:pPr>
        <w:spacing w:after="0"/>
        <w:rPr>
          <w:rFonts w:cs="Arial"/>
          <w:lang w:val="el-GR"/>
        </w:rPr>
      </w:pPr>
    </w:p>
    <w:tbl>
      <w:tblPr>
        <w:tblStyle w:val="TableGrid"/>
        <w:tblW w:w="0" w:type="auto"/>
        <w:tblLook w:val="04A0" w:firstRow="1" w:lastRow="0" w:firstColumn="1" w:lastColumn="0" w:noHBand="0" w:noVBand="1"/>
      </w:tblPr>
      <w:tblGrid>
        <w:gridCol w:w="4508"/>
        <w:gridCol w:w="4508"/>
      </w:tblGrid>
      <w:tr w:rsidR="00A82B3C" w:rsidRPr="0005399E" w14:paraId="771B7B4D" w14:textId="77777777" w:rsidTr="00A82B3C">
        <w:tc>
          <w:tcPr>
            <w:tcW w:w="4508" w:type="dxa"/>
          </w:tcPr>
          <w:p w14:paraId="1E9A23A3" w14:textId="77777777" w:rsidR="00A82B3C" w:rsidRPr="00F02ABD" w:rsidRDefault="00A82B3C" w:rsidP="0005399E">
            <w:pPr>
              <w:jc w:val="center"/>
              <w:rPr>
                <w:rFonts w:cs="Arial"/>
                <w:lang w:val="el-GR"/>
              </w:rPr>
            </w:pPr>
            <w:r w:rsidRPr="00F02ABD">
              <w:rPr>
                <w:rFonts w:cs="Arial"/>
                <w:lang w:val="el-GR"/>
              </w:rPr>
              <w:t>Σταυρούλα Ττόφα</w:t>
            </w:r>
          </w:p>
          <w:p w14:paraId="1A55EF26" w14:textId="08FEA47A" w:rsidR="00A82B3C" w:rsidRPr="007C7FF1" w:rsidRDefault="007C7FF1" w:rsidP="0005399E">
            <w:pPr>
              <w:jc w:val="center"/>
              <w:rPr>
                <w:rFonts w:cs="Arial"/>
                <w:lang w:val="el-GR"/>
              </w:rPr>
            </w:pPr>
            <w:r>
              <w:rPr>
                <w:rFonts w:cs="Arial"/>
                <w:lang w:val="el-GR"/>
              </w:rPr>
              <w:t>Ανώτερη Λειτουργός</w:t>
            </w:r>
          </w:p>
          <w:p w14:paraId="6DC4417E" w14:textId="77777777" w:rsidR="00A82B3C" w:rsidRPr="00F02ABD" w:rsidRDefault="00A82B3C" w:rsidP="0005399E">
            <w:pPr>
              <w:jc w:val="center"/>
              <w:rPr>
                <w:rFonts w:cs="Arial"/>
                <w:lang w:val="el-GR"/>
              </w:rPr>
            </w:pPr>
            <w:r w:rsidRPr="00F02ABD">
              <w:rPr>
                <w:rFonts w:cs="Arial"/>
                <w:lang w:val="el-GR"/>
              </w:rPr>
              <w:t>Επιτροπή Προστασίας του Ανταγωνισμού Τηλ. 226066</w:t>
            </w:r>
            <w:r w:rsidRPr="0005399E">
              <w:rPr>
                <w:rFonts w:cs="Arial"/>
                <w:lang w:val="el-GR"/>
              </w:rPr>
              <w:t>2</w:t>
            </w:r>
            <w:r w:rsidRPr="00F02ABD">
              <w:rPr>
                <w:rFonts w:cs="Arial"/>
                <w:lang w:val="el-GR"/>
              </w:rPr>
              <w:t>2</w:t>
            </w:r>
          </w:p>
          <w:p w14:paraId="1D1183EC" w14:textId="77777777" w:rsidR="00A82B3C" w:rsidRPr="0005399E" w:rsidRDefault="00A82B3C" w:rsidP="0005399E">
            <w:pPr>
              <w:jc w:val="center"/>
              <w:rPr>
                <w:rFonts w:cs="Arial"/>
              </w:rPr>
            </w:pPr>
            <w:r w:rsidRPr="0005399E">
              <w:rPr>
                <w:rFonts w:cs="Arial"/>
              </w:rPr>
              <w:t>Φαξ 22304944</w:t>
            </w:r>
          </w:p>
          <w:p w14:paraId="43FEC608" w14:textId="08FB90D7" w:rsidR="00A82B3C" w:rsidRPr="007C7FF1" w:rsidRDefault="00A82B3C" w:rsidP="0005399E">
            <w:pPr>
              <w:jc w:val="center"/>
              <w:rPr>
                <w:rFonts w:cs="Arial"/>
              </w:rPr>
            </w:pPr>
            <w:r w:rsidRPr="0005399E">
              <w:rPr>
                <w:rFonts w:cs="Arial"/>
              </w:rPr>
              <w:t xml:space="preserve">E-mail: </w:t>
            </w:r>
            <w:hyperlink r:id="rId11" w:history="1">
              <w:r w:rsidRPr="0005399E">
                <w:rPr>
                  <w:rStyle w:val="Hyperlink"/>
                  <w:rFonts w:cs="Arial"/>
                </w:rPr>
                <w:t>sttofa@competition.gov.c</w:t>
              </w:r>
            </w:hyperlink>
            <w:r w:rsidR="007C7FF1">
              <w:rPr>
                <w:rStyle w:val="Hyperlink"/>
                <w:rFonts w:cs="Arial"/>
              </w:rPr>
              <w:t>y</w:t>
            </w:r>
          </w:p>
        </w:tc>
        <w:tc>
          <w:tcPr>
            <w:tcW w:w="4508" w:type="dxa"/>
          </w:tcPr>
          <w:p w14:paraId="1FFFFDD2" w14:textId="77777777" w:rsidR="00A82B3C" w:rsidRPr="0005399E" w:rsidRDefault="00A82B3C" w:rsidP="0005399E">
            <w:pPr>
              <w:jc w:val="center"/>
              <w:rPr>
                <w:rFonts w:cs="Arial"/>
                <w:lang w:val="el-GR"/>
              </w:rPr>
            </w:pPr>
            <w:r w:rsidRPr="0005399E">
              <w:rPr>
                <w:rFonts w:cs="Arial"/>
                <w:lang w:val="el-GR"/>
              </w:rPr>
              <w:t>Ελένη Μαραγκάκη</w:t>
            </w:r>
          </w:p>
          <w:p w14:paraId="3AB91DC2" w14:textId="77777777" w:rsidR="00A82B3C" w:rsidRPr="0005399E" w:rsidRDefault="00A82B3C" w:rsidP="0005399E">
            <w:pPr>
              <w:jc w:val="center"/>
              <w:rPr>
                <w:rFonts w:cs="Arial"/>
                <w:lang w:val="el-GR"/>
              </w:rPr>
            </w:pPr>
            <w:r w:rsidRPr="0005399E">
              <w:rPr>
                <w:rFonts w:cs="Arial"/>
                <w:lang w:val="el-GR"/>
              </w:rPr>
              <w:t>Λειτουργός</w:t>
            </w:r>
          </w:p>
          <w:p w14:paraId="6AB7655B" w14:textId="77777777" w:rsidR="00A82B3C" w:rsidRPr="0005399E" w:rsidRDefault="00A82B3C" w:rsidP="0005399E">
            <w:pPr>
              <w:jc w:val="center"/>
              <w:rPr>
                <w:rFonts w:cs="Arial"/>
                <w:lang w:val="el-GR"/>
              </w:rPr>
            </w:pPr>
            <w:r w:rsidRPr="0005399E">
              <w:rPr>
                <w:rFonts w:cs="Arial"/>
                <w:lang w:val="el-GR"/>
              </w:rPr>
              <w:t>Επιτροπή Προστασίας του Ανταγωνισμού</w:t>
            </w:r>
          </w:p>
          <w:p w14:paraId="18B831A6" w14:textId="77777777" w:rsidR="00A82B3C" w:rsidRPr="0005399E" w:rsidRDefault="00A82B3C" w:rsidP="0005399E">
            <w:pPr>
              <w:jc w:val="center"/>
              <w:rPr>
                <w:rFonts w:cs="Arial"/>
              </w:rPr>
            </w:pPr>
            <w:r w:rsidRPr="0005399E">
              <w:rPr>
                <w:rFonts w:cs="Arial"/>
                <w:lang w:val="el-GR"/>
              </w:rPr>
              <w:t>Τηλ</w:t>
            </w:r>
            <w:r w:rsidRPr="0005399E">
              <w:rPr>
                <w:rFonts w:cs="Arial"/>
              </w:rPr>
              <w:t>. 22606667</w:t>
            </w:r>
          </w:p>
          <w:p w14:paraId="6D555BC2" w14:textId="77777777" w:rsidR="00A82B3C" w:rsidRPr="0005399E" w:rsidRDefault="00A82B3C" w:rsidP="0005399E">
            <w:pPr>
              <w:jc w:val="center"/>
              <w:rPr>
                <w:rFonts w:cs="Arial"/>
              </w:rPr>
            </w:pPr>
            <w:r w:rsidRPr="0005399E">
              <w:rPr>
                <w:rFonts w:cs="Arial"/>
                <w:lang w:val="el-GR"/>
              </w:rPr>
              <w:t>Φαξ</w:t>
            </w:r>
            <w:r w:rsidRPr="0005399E">
              <w:rPr>
                <w:rFonts w:cs="Arial"/>
              </w:rPr>
              <w:t xml:space="preserve"> 22304944</w:t>
            </w:r>
          </w:p>
          <w:p w14:paraId="7EAE12FD" w14:textId="77777777" w:rsidR="00A82B3C" w:rsidRPr="0005399E" w:rsidRDefault="00A82B3C" w:rsidP="0005399E">
            <w:pPr>
              <w:jc w:val="center"/>
              <w:rPr>
                <w:rFonts w:cs="Arial"/>
              </w:rPr>
            </w:pPr>
            <w:r w:rsidRPr="0005399E">
              <w:rPr>
                <w:rFonts w:cs="Arial"/>
              </w:rPr>
              <w:t xml:space="preserve">Email: </w:t>
            </w:r>
            <w:hyperlink r:id="rId12" w:history="1">
              <w:r w:rsidRPr="0005399E">
                <w:rPr>
                  <w:rStyle w:val="Hyperlink"/>
                  <w:rFonts w:cs="Arial"/>
                </w:rPr>
                <w:t>emaragkaki@competition.gov.cy</w:t>
              </w:r>
            </w:hyperlink>
          </w:p>
        </w:tc>
      </w:tr>
    </w:tbl>
    <w:p w14:paraId="745641DD" w14:textId="77777777" w:rsidR="00A82B3C" w:rsidRPr="0005399E" w:rsidRDefault="00A82B3C" w:rsidP="0005399E">
      <w:pPr>
        <w:spacing w:after="0"/>
        <w:rPr>
          <w:rFonts w:cs="Arial"/>
        </w:rPr>
      </w:pPr>
    </w:p>
    <w:p w14:paraId="2C29B618" w14:textId="77777777" w:rsidR="00A82B3C" w:rsidRPr="0005399E" w:rsidRDefault="00A82B3C" w:rsidP="0005399E">
      <w:pPr>
        <w:spacing w:after="0"/>
        <w:rPr>
          <w:rFonts w:cs="Arial"/>
        </w:rPr>
      </w:pPr>
    </w:p>
    <w:p w14:paraId="217C22C3" w14:textId="3BC4A0EA" w:rsidR="00A82B3C" w:rsidRPr="0005399E" w:rsidRDefault="00A82B3C" w:rsidP="0005399E">
      <w:pPr>
        <w:spacing w:after="0"/>
        <w:rPr>
          <w:rFonts w:cs="Arial"/>
        </w:rPr>
      </w:pPr>
      <w:r w:rsidRPr="0005399E">
        <w:rPr>
          <w:rFonts w:cs="Arial"/>
        </w:rPr>
        <w:t xml:space="preserve">Ημερομηνία </w:t>
      </w:r>
      <w:r w:rsidR="00295CD3">
        <w:rPr>
          <w:rFonts w:cs="Arial"/>
          <w:lang w:val="el-GR"/>
        </w:rPr>
        <w:t>4</w:t>
      </w:r>
      <w:r w:rsidR="00621BC8">
        <w:rPr>
          <w:rFonts w:cs="Arial"/>
        </w:rPr>
        <w:t>/4/2024</w:t>
      </w:r>
    </w:p>
    <w:sectPr w:rsidR="00A82B3C" w:rsidRPr="0005399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D63D2" w14:textId="77777777" w:rsidR="00282F38" w:rsidRDefault="00282F38" w:rsidP="004B40FD">
      <w:pPr>
        <w:spacing w:after="0" w:line="240" w:lineRule="auto"/>
      </w:pPr>
      <w:r>
        <w:separator/>
      </w:r>
    </w:p>
  </w:endnote>
  <w:endnote w:type="continuationSeparator" w:id="0">
    <w:p w14:paraId="28BD1F2A" w14:textId="77777777" w:rsidR="00282F38" w:rsidRDefault="00282F38" w:rsidP="004B4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7687" w14:textId="77777777" w:rsidR="00515131" w:rsidRDefault="005151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inorEastAsia"/>
      </w:rPr>
      <w:id w:val="-1690596776"/>
      <w:docPartObj>
        <w:docPartGallery w:val="Page Numbers (Bottom of Page)"/>
        <w:docPartUnique/>
      </w:docPartObj>
    </w:sdtPr>
    <w:sdtEndPr/>
    <w:sdtContent>
      <w:sdt>
        <w:sdtPr>
          <w:rPr>
            <w:rFonts w:eastAsiaTheme="minorEastAsia"/>
          </w:rPr>
          <w:id w:val="-1505900113"/>
          <w:docPartObj>
            <w:docPartGallery w:val="Page Numbers (Top of Page)"/>
            <w:docPartUnique/>
          </w:docPartObj>
        </w:sdtPr>
        <w:sdtEndPr/>
        <w:sdtContent>
          <w:p w14:paraId="4A1374D4" w14:textId="77777777" w:rsidR="004B40FD" w:rsidRPr="008070AA" w:rsidRDefault="004B40FD" w:rsidP="004B40FD">
            <w:pPr>
              <w:tabs>
                <w:tab w:val="center" w:pos="4153"/>
                <w:tab w:val="right" w:pos="8306"/>
              </w:tabs>
              <w:spacing w:after="0" w:line="240" w:lineRule="auto"/>
              <w:jc w:val="right"/>
              <w:rPr>
                <w:rFonts w:eastAsiaTheme="minorEastAsia"/>
              </w:rPr>
            </w:pPr>
            <w:r w:rsidRPr="008070AA">
              <w:rPr>
                <w:rFonts w:eastAsiaTheme="minorEastAsia"/>
              </w:rPr>
              <w:t xml:space="preserve"> </w:t>
            </w:r>
            <w:r w:rsidRPr="008070AA">
              <w:rPr>
                <w:rFonts w:eastAsiaTheme="minorEastAsia"/>
                <w:b/>
                <w:bCs/>
                <w:sz w:val="24"/>
                <w:szCs w:val="24"/>
              </w:rPr>
              <w:fldChar w:fldCharType="begin"/>
            </w:r>
            <w:r w:rsidRPr="008070AA">
              <w:rPr>
                <w:rFonts w:eastAsiaTheme="minorEastAsia"/>
                <w:b/>
                <w:bCs/>
              </w:rPr>
              <w:instrText xml:space="preserve"> PAGE </w:instrText>
            </w:r>
            <w:r w:rsidRPr="008070AA">
              <w:rPr>
                <w:rFonts w:eastAsiaTheme="minorEastAsia"/>
                <w:b/>
                <w:bCs/>
                <w:sz w:val="24"/>
                <w:szCs w:val="24"/>
              </w:rPr>
              <w:fldChar w:fldCharType="separate"/>
            </w:r>
            <w:r>
              <w:rPr>
                <w:rFonts w:eastAsiaTheme="minorEastAsia"/>
                <w:b/>
                <w:bCs/>
                <w:sz w:val="24"/>
                <w:szCs w:val="24"/>
              </w:rPr>
              <w:t>1</w:t>
            </w:r>
            <w:r w:rsidRPr="008070AA">
              <w:rPr>
                <w:rFonts w:eastAsiaTheme="minorEastAsia"/>
                <w:b/>
                <w:bCs/>
                <w:sz w:val="24"/>
                <w:szCs w:val="24"/>
              </w:rPr>
              <w:fldChar w:fldCharType="end"/>
            </w:r>
            <w:r w:rsidRPr="008070AA">
              <w:rPr>
                <w:rFonts w:eastAsiaTheme="minorEastAsia"/>
              </w:rPr>
              <w:t xml:space="preserve"> / </w:t>
            </w:r>
            <w:r w:rsidRPr="008070AA">
              <w:rPr>
                <w:rFonts w:eastAsiaTheme="minorEastAsia"/>
                <w:b/>
                <w:bCs/>
                <w:sz w:val="24"/>
                <w:szCs w:val="24"/>
              </w:rPr>
              <w:fldChar w:fldCharType="begin"/>
            </w:r>
            <w:r w:rsidRPr="008070AA">
              <w:rPr>
                <w:rFonts w:eastAsiaTheme="minorEastAsia"/>
                <w:b/>
                <w:bCs/>
              </w:rPr>
              <w:instrText xml:space="preserve"> NUMPAGES  </w:instrText>
            </w:r>
            <w:r w:rsidRPr="008070AA">
              <w:rPr>
                <w:rFonts w:eastAsiaTheme="minorEastAsia"/>
                <w:b/>
                <w:bCs/>
                <w:sz w:val="24"/>
                <w:szCs w:val="24"/>
              </w:rPr>
              <w:fldChar w:fldCharType="separate"/>
            </w:r>
            <w:r>
              <w:rPr>
                <w:rFonts w:eastAsiaTheme="minorEastAsia"/>
                <w:b/>
                <w:bCs/>
                <w:sz w:val="24"/>
                <w:szCs w:val="24"/>
              </w:rPr>
              <w:t>39</w:t>
            </w:r>
            <w:r w:rsidRPr="008070AA">
              <w:rPr>
                <w:rFonts w:eastAsiaTheme="minorEastAsia"/>
                <w:b/>
                <w:bCs/>
                <w:sz w:val="24"/>
                <w:szCs w:val="24"/>
              </w:rPr>
              <w:fldChar w:fldCharType="end"/>
            </w:r>
          </w:p>
        </w:sdtContent>
      </w:sdt>
    </w:sdtContent>
  </w:sdt>
  <w:p w14:paraId="6775D163" w14:textId="77777777" w:rsidR="004B40FD" w:rsidRDefault="004B40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D976" w14:textId="77777777" w:rsidR="00515131" w:rsidRDefault="00515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E6C2E" w14:textId="77777777" w:rsidR="00282F38" w:rsidRDefault="00282F38" w:rsidP="004B40FD">
      <w:pPr>
        <w:spacing w:after="0" w:line="240" w:lineRule="auto"/>
      </w:pPr>
      <w:r>
        <w:separator/>
      </w:r>
    </w:p>
  </w:footnote>
  <w:footnote w:type="continuationSeparator" w:id="0">
    <w:p w14:paraId="14F5309C" w14:textId="77777777" w:rsidR="00282F38" w:rsidRDefault="00282F38" w:rsidP="004B40FD">
      <w:pPr>
        <w:spacing w:after="0" w:line="240" w:lineRule="auto"/>
      </w:pPr>
      <w:r>
        <w:continuationSeparator/>
      </w:r>
    </w:p>
  </w:footnote>
  <w:footnote w:id="1">
    <w:p w14:paraId="5FE52455" w14:textId="3D5605B7" w:rsidR="008C6263" w:rsidRPr="00B72C73" w:rsidRDefault="008C6263" w:rsidP="008C6263">
      <w:pPr>
        <w:pStyle w:val="FootnoteText"/>
        <w:jc w:val="both"/>
        <w:rPr>
          <w:lang w:val="el-GR"/>
        </w:rPr>
      </w:pPr>
      <w:r>
        <w:rPr>
          <w:rStyle w:val="FootnoteReference"/>
        </w:rPr>
        <w:footnoteRef/>
      </w:r>
      <w:r w:rsidRPr="00F02ABD">
        <w:rPr>
          <w:lang w:val="el-GR"/>
        </w:rPr>
        <w:t xml:space="preserve"> Κανονισμός (ΕΕ) 2022/1925 του Ευρωπαϊκού Κοινοβουλίου και του Συμβουλίου της 14ης</w:t>
      </w:r>
      <w:r>
        <w:rPr>
          <w:lang w:val="el-GR"/>
        </w:rPr>
        <w:t xml:space="preserve"> </w:t>
      </w:r>
      <w:r w:rsidRPr="00F02ABD">
        <w:rPr>
          <w:lang w:val="el-GR"/>
        </w:rPr>
        <w:t>Σεπτεμβρίου 2022 σχετικά με διεκδικήσιμες και δίκαιες αγορές στον ψηφιακό τομέα και για την</w:t>
      </w:r>
      <w:r>
        <w:rPr>
          <w:lang w:val="el-GR"/>
        </w:rPr>
        <w:t xml:space="preserve"> </w:t>
      </w:r>
      <w:r w:rsidRPr="00F02ABD">
        <w:rPr>
          <w:lang w:val="el-GR"/>
        </w:rPr>
        <w:t>τροποποίηση των οδηγιών (ΕΕ) 2019/1937 και (ΕΕ) 2020/1828 (Πράξη για τις Ψηφιακές Αγορές)</w:t>
      </w:r>
      <w:r w:rsidR="00B72C73">
        <w:rPr>
          <w:lang w:val="el-GR"/>
        </w:rPr>
        <w:t xml:space="preserve"> (εφεξής «Ευρωπαϊκός Κανονισμός (ΕΕ) 2022/1925»)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DEA86" w14:textId="77777777" w:rsidR="00515131" w:rsidRDefault="005151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3589A" w14:textId="2DAF54F4" w:rsidR="00515131" w:rsidRDefault="005151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63B84" w14:textId="77777777" w:rsidR="00515131" w:rsidRDefault="005151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8E1"/>
    <w:multiLevelType w:val="hybridMultilevel"/>
    <w:tmpl w:val="56E4BAF0"/>
    <w:lvl w:ilvl="0" w:tplc="0BD8B820">
      <w:start w:val="1"/>
      <w:numFmt w:val="lowerRoman"/>
      <w:lvlText w:val="(%1)"/>
      <w:lvlJc w:val="left"/>
      <w:pPr>
        <w:ind w:left="720" w:hanging="72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21173672"/>
    <w:multiLevelType w:val="hybridMultilevel"/>
    <w:tmpl w:val="A230895E"/>
    <w:lvl w:ilvl="0" w:tplc="5874ED1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7B4D1321"/>
    <w:multiLevelType w:val="hybridMultilevel"/>
    <w:tmpl w:val="96AAA2CE"/>
    <w:lvl w:ilvl="0" w:tplc="36FA7686">
      <w:start w:val="1"/>
      <w:numFmt w:val="bullet"/>
      <w:lvlText w:val=""/>
      <w:lvlJc w:val="left"/>
      <w:pPr>
        <w:ind w:left="360" w:hanging="360"/>
      </w:pPr>
      <w:rPr>
        <w:rFonts w:ascii="Symbol" w:hAnsi="Symbol" w:hint="default"/>
        <w:color w:val="auto"/>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7FFA708F"/>
    <w:multiLevelType w:val="hybridMultilevel"/>
    <w:tmpl w:val="4114274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373116890">
    <w:abstractNumId w:val="3"/>
  </w:num>
  <w:num w:numId="2" w16cid:durableId="159581967">
    <w:abstractNumId w:val="1"/>
  </w:num>
  <w:num w:numId="3" w16cid:durableId="1268540032">
    <w:abstractNumId w:val="0"/>
  </w:num>
  <w:num w:numId="4" w16cid:durableId="115832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BAE"/>
    <w:rsid w:val="00023EAF"/>
    <w:rsid w:val="0003294F"/>
    <w:rsid w:val="00043A39"/>
    <w:rsid w:val="0005399E"/>
    <w:rsid w:val="000B15AC"/>
    <w:rsid w:val="000C73D2"/>
    <w:rsid w:val="00110570"/>
    <w:rsid w:val="00125FEC"/>
    <w:rsid w:val="00134175"/>
    <w:rsid w:val="0019069B"/>
    <w:rsid w:val="001F3696"/>
    <w:rsid w:val="001F7D19"/>
    <w:rsid w:val="002054A7"/>
    <w:rsid w:val="00211BAE"/>
    <w:rsid w:val="00211E9D"/>
    <w:rsid w:val="00232AD1"/>
    <w:rsid w:val="0024048A"/>
    <w:rsid w:val="00263411"/>
    <w:rsid w:val="00282F38"/>
    <w:rsid w:val="00295CD3"/>
    <w:rsid w:val="002C7814"/>
    <w:rsid w:val="002D4C8D"/>
    <w:rsid w:val="00321734"/>
    <w:rsid w:val="003A2A15"/>
    <w:rsid w:val="003A4CC7"/>
    <w:rsid w:val="003D1587"/>
    <w:rsid w:val="003D7BE3"/>
    <w:rsid w:val="00401E5A"/>
    <w:rsid w:val="00436556"/>
    <w:rsid w:val="0045764F"/>
    <w:rsid w:val="004A561A"/>
    <w:rsid w:val="004A6F47"/>
    <w:rsid w:val="004B40FD"/>
    <w:rsid w:val="004B517C"/>
    <w:rsid w:val="004C2980"/>
    <w:rsid w:val="00512D7F"/>
    <w:rsid w:val="00515131"/>
    <w:rsid w:val="00516995"/>
    <w:rsid w:val="005364D1"/>
    <w:rsid w:val="00537EA8"/>
    <w:rsid w:val="00550EFD"/>
    <w:rsid w:val="00560362"/>
    <w:rsid w:val="0056507A"/>
    <w:rsid w:val="00566067"/>
    <w:rsid w:val="00594621"/>
    <w:rsid w:val="00595DFE"/>
    <w:rsid w:val="005B29B1"/>
    <w:rsid w:val="005E5A3A"/>
    <w:rsid w:val="00621BC8"/>
    <w:rsid w:val="00643E61"/>
    <w:rsid w:val="00676FB6"/>
    <w:rsid w:val="006909B8"/>
    <w:rsid w:val="0069743E"/>
    <w:rsid w:val="006E3411"/>
    <w:rsid w:val="00700121"/>
    <w:rsid w:val="00755637"/>
    <w:rsid w:val="007578EC"/>
    <w:rsid w:val="007C1500"/>
    <w:rsid w:val="007C7FF1"/>
    <w:rsid w:val="007D6C51"/>
    <w:rsid w:val="007F5468"/>
    <w:rsid w:val="00810628"/>
    <w:rsid w:val="008245C7"/>
    <w:rsid w:val="008402A5"/>
    <w:rsid w:val="00842BF1"/>
    <w:rsid w:val="00866001"/>
    <w:rsid w:val="00893C24"/>
    <w:rsid w:val="008A6FF7"/>
    <w:rsid w:val="008C6263"/>
    <w:rsid w:val="008D5708"/>
    <w:rsid w:val="008E23AE"/>
    <w:rsid w:val="00901918"/>
    <w:rsid w:val="00920497"/>
    <w:rsid w:val="00922EAF"/>
    <w:rsid w:val="00966BCD"/>
    <w:rsid w:val="0099560C"/>
    <w:rsid w:val="009A5B4E"/>
    <w:rsid w:val="009B2420"/>
    <w:rsid w:val="00A30622"/>
    <w:rsid w:val="00A4076E"/>
    <w:rsid w:val="00A5476E"/>
    <w:rsid w:val="00A55ACE"/>
    <w:rsid w:val="00A55D97"/>
    <w:rsid w:val="00A82B3C"/>
    <w:rsid w:val="00AA376B"/>
    <w:rsid w:val="00AC0A8A"/>
    <w:rsid w:val="00AD188C"/>
    <w:rsid w:val="00AE7A5A"/>
    <w:rsid w:val="00B63872"/>
    <w:rsid w:val="00B72C73"/>
    <w:rsid w:val="00B91EA4"/>
    <w:rsid w:val="00BA0128"/>
    <w:rsid w:val="00BD2BBA"/>
    <w:rsid w:val="00C52BFC"/>
    <w:rsid w:val="00C75A8B"/>
    <w:rsid w:val="00C91321"/>
    <w:rsid w:val="00CB4211"/>
    <w:rsid w:val="00CB6952"/>
    <w:rsid w:val="00D3600C"/>
    <w:rsid w:val="00DA723F"/>
    <w:rsid w:val="00DC4BCD"/>
    <w:rsid w:val="00E21FDC"/>
    <w:rsid w:val="00EA01C8"/>
    <w:rsid w:val="00EB4922"/>
    <w:rsid w:val="00EC53DC"/>
    <w:rsid w:val="00EC59F6"/>
    <w:rsid w:val="00ED29E1"/>
    <w:rsid w:val="00ED505C"/>
    <w:rsid w:val="00F02ABD"/>
    <w:rsid w:val="00F2165F"/>
    <w:rsid w:val="00F41305"/>
    <w:rsid w:val="00F566A0"/>
    <w:rsid w:val="00F705AA"/>
    <w:rsid w:val="00F860FF"/>
    <w:rsid w:val="00FB514C"/>
    <w:rsid w:val="00FB6E1C"/>
    <w:rsid w:val="00FC05AF"/>
    <w:rsid w:val="00FE2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F4DF5"/>
  <w15:chartTrackingRefBased/>
  <w15:docId w15:val="{2EF8569C-26EE-4569-A7F7-025FCF4D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BFC"/>
    <w:pPr>
      <w:spacing w:line="36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BFC"/>
    <w:pPr>
      <w:ind w:left="720"/>
      <w:contextualSpacing/>
    </w:pPr>
  </w:style>
  <w:style w:type="character" w:styleId="Hyperlink">
    <w:name w:val="Hyperlink"/>
    <w:basedOn w:val="DefaultParagraphFont"/>
    <w:uiPriority w:val="99"/>
    <w:unhideWhenUsed/>
    <w:rsid w:val="00134175"/>
    <w:rPr>
      <w:color w:val="0563C1" w:themeColor="hyperlink"/>
      <w:u w:val="single"/>
    </w:rPr>
  </w:style>
  <w:style w:type="character" w:styleId="UnresolvedMention">
    <w:name w:val="Unresolved Mention"/>
    <w:basedOn w:val="DefaultParagraphFont"/>
    <w:uiPriority w:val="99"/>
    <w:semiHidden/>
    <w:unhideWhenUsed/>
    <w:rsid w:val="00134175"/>
    <w:rPr>
      <w:color w:val="605E5C"/>
      <w:shd w:val="clear" w:color="auto" w:fill="E1DFDD"/>
    </w:rPr>
  </w:style>
  <w:style w:type="table" w:styleId="TableGrid">
    <w:name w:val="Table Grid"/>
    <w:basedOn w:val="TableNormal"/>
    <w:uiPriority w:val="39"/>
    <w:rsid w:val="00A82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40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0FD"/>
    <w:rPr>
      <w:rFonts w:ascii="Arial" w:hAnsi="Arial"/>
    </w:rPr>
  </w:style>
  <w:style w:type="paragraph" w:styleId="Footer">
    <w:name w:val="footer"/>
    <w:basedOn w:val="Normal"/>
    <w:link w:val="FooterChar"/>
    <w:uiPriority w:val="99"/>
    <w:unhideWhenUsed/>
    <w:rsid w:val="004B4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0FD"/>
    <w:rPr>
      <w:rFonts w:ascii="Arial" w:hAnsi="Arial"/>
    </w:rPr>
  </w:style>
  <w:style w:type="character" w:styleId="CommentReference">
    <w:name w:val="annotation reference"/>
    <w:basedOn w:val="DefaultParagraphFont"/>
    <w:uiPriority w:val="99"/>
    <w:semiHidden/>
    <w:unhideWhenUsed/>
    <w:rsid w:val="00AD188C"/>
    <w:rPr>
      <w:sz w:val="16"/>
      <w:szCs w:val="16"/>
    </w:rPr>
  </w:style>
  <w:style w:type="paragraph" w:styleId="CommentText">
    <w:name w:val="annotation text"/>
    <w:basedOn w:val="Normal"/>
    <w:link w:val="CommentTextChar"/>
    <w:uiPriority w:val="99"/>
    <w:unhideWhenUsed/>
    <w:rsid w:val="00AD188C"/>
    <w:pPr>
      <w:spacing w:line="240" w:lineRule="auto"/>
    </w:pPr>
    <w:rPr>
      <w:rFonts w:asciiTheme="minorHAnsi" w:hAnsiTheme="minorHAnsi"/>
      <w:kern w:val="2"/>
      <w:sz w:val="20"/>
      <w:szCs w:val="20"/>
      <w14:ligatures w14:val="standardContextual"/>
    </w:rPr>
  </w:style>
  <w:style w:type="character" w:customStyle="1" w:styleId="CommentTextChar">
    <w:name w:val="Comment Text Char"/>
    <w:basedOn w:val="DefaultParagraphFont"/>
    <w:link w:val="CommentText"/>
    <w:uiPriority w:val="99"/>
    <w:rsid w:val="00AD188C"/>
    <w:rPr>
      <w:kern w:val="2"/>
      <w:sz w:val="20"/>
      <w:szCs w:val="20"/>
      <w:lang w:val="en-US"/>
      <w14:ligatures w14:val="standardContextual"/>
    </w:rPr>
  </w:style>
  <w:style w:type="paragraph" w:styleId="BalloonText">
    <w:name w:val="Balloon Text"/>
    <w:basedOn w:val="Normal"/>
    <w:link w:val="BalloonTextChar"/>
    <w:uiPriority w:val="99"/>
    <w:semiHidden/>
    <w:unhideWhenUsed/>
    <w:rsid w:val="00AD1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88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55ACE"/>
    <w:rPr>
      <w:rFonts w:ascii="Arial" w:hAnsi="Arial"/>
      <w:b/>
      <w:bCs/>
      <w:kern w:val="0"/>
      <w14:ligatures w14:val="none"/>
    </w:rPr>
  </w:style>
  <w:style w:type="character" w:customStyle="1" w:styleId="CommentSubjectChar">
    <w:name w:val="Comment Subject Char"/>
    <w:basedOn w:val="CommentTextChar"/>
    <w:link w:val="CommentSubject"/>
    <w:uiPriority w:val="99"/>
    <w:semiHidden/>
    <w:rsid w:val="00A55ACE"/>
    <w:rPr>
      <w:rFonts w:ascii="Arial" w:hAnsi="Arial"/>
      <w:b/>
      <w:bCs/>
      <w:kern w:val="2"/>
      <w:sz w:val="20"/>
      <w:szCs w:val="20"/>
      <w:lang w:val="en-US"/>
      <w14:ligatures w14:val="standardContextual"/>
    </w:rPr>
  </w:style>
  <w:style w:type="paragraph" w:styleId="FootnoteText">
    <w:name w:val="footnote text"/>
    <w:basedOn w:val="Normal"/>
    <w:link w:val="FootnoteTextChar"/>
    <w:uiPriority w:val="99"/>
    <w:semiHidden/>
    <w:unhideWhenUsed/>
    <w:rsid w:val="008C62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6263"/>
    <w:rPr>
      <w:rFonts w:ascii="Arial" w:hAnsi="Arial"/>
      <w:sz w:val="20"/>
      <w:szCs w:val="20"/>
    </w:rPr>
  </w:style>
  <w:style w:type="character" w:styleId="FootnoteReference">
    <w:name w:val="footnote reference"/>
    <w:basedOn w:val="DefaultParagraphFont"/>
    <w:uiPriority w:val="99"/>
    <w:semiHidden/>
    <w:unhideWhenUsed/>
    <w:rsid w:val="008C6263"/>
    <w:rPr>
      <w:vertAlign w:val="superscript"/>
    </w:rPr>
  </w:style>
  <w:style w:type="paragraph" w:styleId="Revision">
    <w:name w:val="Revision"/>
    <w:hidden/>
    <w:uiPriority w:val="99"/>
    <w:semiHidden/>
    <w:rsid w:val="009B2420"/>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204707">
      <w:bodyDiv w:val="1"/>
      <w:marLeft w:val="0"/>
      <w:marRight w:val="0"/>
      <w:marTop w:val="0"/>
      <w:marBottom w:val="0"/>
      <w:divBdr>
        <w:top w:val="none" w:sz="0" w:space="0" w:color="auto"/>
        <w:left w:val="none" w:sz="0" w:space="0" w:color="auto"/>
        <w:bottom w:val="none" w:sz="0" w:space="0" w:color="auto"/>
        <w:right w:val="none" w:sz="0" w:space="0" w:color="auto"/>
      </w:divBdr>
    </w:div>
    <w:div w:id="166504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aragkaki@competition.gov.c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tofa@competition.gov.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mpetition.gov.c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92D67-EBFF-41EA-A73E-476E6BB9B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1111</Words>
  <Characters>6333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Maragkaki</dc:creator>
  <cp:keywords/>
  <dc:description/>
  <cp:lastModifiedBy>Angeliki Madianou</cp:lastModifiedBy>
  <cp:revision>2</cp:revision>
  <cp:lastPrinted>2024-02-26T09:34:00Z</cp:lastPrinted>
  <dcterms:created xsi:type="dcterms:W3CDTF">2024-04-04T06:45:00Z</dcterms:created>
  <dcterms:modified xsi:type="dcterms:W3CDTF">2024-04-04T06:45:00Z</dcterms:modified>
</cp:coreProperties>
</file>